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2D200" w14:textId="77777777" w:rsidR="002D3C35" w:rsidRPr="00871473" w:rsidRDefault="00880B8D" w:rsidP="006A6001">
      <w:pPr>
        <w:ind w:right="-6"/>
        <w:jc w:val="center"/>
        <w:rPr>
          <w:rFonts w:ascii="Arial" w:hAnsi="Arial" w:cs="Arial"/>
          <w:sz w:val="20"/>
          <w:szCs w:val="20"/>
        </w:rPr>
      </w:pPr>
      <w:r w:rsidRPr="00871473">
        <w:rPr>
          <w:rFonts w:ascii="Arial" w:eastAsia="Arial" w:hAnsi="Arial" w:cs="Arial"/>
          <w:b/>
          <w:bCs/>
          <w:sz w:val="24"/>
          <w:szCs w:val="24"/>
        </w:rPr>
        <w:t>Épreuve commune de contrôle continu</w:t>
      </w:r>
    </w:p>
    <w:p w14:paraId="005F075F" w14:textId="77777777" w:rsidR="002D3C35" w:rsidRPr="00871473" w:rsidRDefault="002D3C35" w:rsidP="006A6001">
      <w:pPr>
        <w:rPr>
          <w:rFonts w:ascii="Arial" w:hAnsi="Arial" w:cs="Arial"/>
          <w:sz w:val="24"/>
          <w:szCs w:val="24"/>
        </w:rPr>
      </w:pPr>
    </w:p>
    <w:p w14:paraId="58AA71EC" w14:textId="77777777" w:rsidR="002D3C35" w:rsidRPr="00871473" w:rsidRDefault="00880B8D" w:rsidP="006A6001">
      <w:pPr>
        <w:ind w:right="-6"/>
        <w:jc w:val="center"/>
        <w:rPr>
          <w:rFonts w:ascii="Arial" w:hAnsi="Arial" w:cs="Arial"/>
          <w:sz w:val="20"/>
          <w:szCs w:val="20"/>
        </w:rPr>
      </w:pPr>
      <w:r w:rsidRPr="00871473">
        <w:rPr>
          <w:rFonts w:ascii="Arial" w:eastAsia="Arial" w:hAnsi="Arial" w:cs="Arial"/>
          <w:b/>
          <w:bCs/>
          <w:sz w:val="24"/>
          <w:szCs w:val="24"/>
        </w:rPr>
        <w:t>Sciences économiques et sociales</w:t>
      </w:r>
    </w:p>
    <w:p w14:paraId="1DE13D3C" w14:textId="77777777" w:rsidR="002D3C35" w:rsidRPr="00871473" w:rsidRDefault="002D3C35" w:rsidP="006A6001">
      <w:pPr>
        <w:rPr>
          <w:rFonts w:ascii="Arial" w:hAnsi="Arial" w:cs="Arial"/>
          <w:sz w:val="24"/>
          <w:szCs w:val="24"/>
        </w:rPr>
      </w:pPr>
    </w:p>
    <w:p w14:paraId="64F6E822" w14:textId="77777777" w:rsidR="002D3C35" w:rsidRPr="00871473" w:rsidRDefault="00880B8D" w:rsidP="006A6001">
      <w:pPr>
        <w:ind w:right="-6"/>
        <w:jc w:val="center"/>
        <w:rPr>
          <w:rFonts w:ascii="Arial" w:hAnsi="Arial" w:cs="Arial"/>
          <w:sz w:val="20"/>
          <w:szCs w:val="20"/>
        </w:rPr>
      </w:pPr>
      <w:r w:rsidRPr="00871473">
        <w:rPr>
          <w:rFonts w:ascii="Arial" w:eastAsia="Arial" w:hAnsi="Arial" w:cs="Arial"/>
          <w:i/>
          <w:iCs/>
        </w:rPr>
        <w:t>L’usage de la calculatrice est strictement interdit.</w:t>
      </w:r>
    </w:p>
    <w:p w14:paraId="6F34492C" w14:textId="77777777" w:rsidR="002D3C35" w:rsidRPr="00871473" w:rsidRDefault="00880B8D" w:rsidP="006A6001">
      <w:pPr>
        <w:rPr>
          <w:rFonts w:ascii="Arial" w:hAnsi="Arial" w:cs="Arial"/>
          <w:sz w:val="24"/>
          <w:szCs w:val="24"/>
        </w:rPr>
      </w:pPr>
      <w:r w:rsidRPr="00871473">
        <w:rPr>
          <w:rFonts w:ascii="Arial" w:hAnsi="Arial" w:cs="Arial"/>
          <w:noProof/>
          <w:sz w:val="24"/>
          <w:szCs w:val="24"/>
        </w:rPr>
        <w:drawing>
          <wp:anchor distT="0" distB="0" distL="114300" distR="114300" simplePos="0" relativeHeight="251654656" behindDoc="1" locked="0" layoutInCell="0" allowOverlap="1" wp14:anchorId="795E6C45" wp14:editId="366C8735">
            <wp:simplePos x="0" y="0"/>
            <wp:positionH relativeFrom="column">
              <wp:posOffset>-72390</wp:posOffset>
            </wp:positionH>
            <wp:positionV relativeFrom="paragraph">
              <wp:posOffset>170815</wp:posOffset>
            </wp:positionV>
            <wp:extent cx="6263640" cy="17894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263640" cy="1789430"/>
                    </a:xfrm>
                    <a:prstGeom prst="rect">
                      <a:avLst/>
                    </a:prstGeom>
                    <a:noFill/>
                  </pic:spPr>
                </pic:pic>
              </a:graphicData>
            </a:graphic>
          </wp:anchor>
        </w:drawing>
      </w:r>
    </w:p>
    <w:p w14:paraId="43E8219C" w14:textId="77777777" w:rsidR="002D3C35" w:rsidRPr="00871473" w:rsidRDefault="002D3C35" w:rsidP="006A6001">
      <w:pPr>
        <w:rPr>
          <w:rFonts w:ascii="Arial" w:hAnsi="Arial" w:cs="Arial"/>
          <w:sz w:val="24"/>
          <w:szCs w:val="24"/>
        </w:rPr>
      </w:pPr>
    </w:p>
    <w:p w14:paraId="3B5E24A1" w14:textId="77777777" w:rsidR="002D3C35" w:rsidRPr="00871473" w:rsidRDefault="00880B8D" w:rsidP="006A6001">
      <w:pPr>
        <w:ind w:left="7"/>
        <w:rPr>
          <w:rFonts w:ascii="Arial" w:hAnsi="Arial" w:cs="Arial"/>
          <w:sz w:val="20"/>
          <w:szCs w:val="20"/>
        </w:rPr>
      </w:pPr>
      <w:r w:rsidRPr="00871473">
        <w:rPr>
          <w:rFonts w:ascii="Arial" w:eastAsia="Arial" w:hAnsi="Arial" w:cs="Arial"/>
          <w:i/>
          <w:iCs/>
          <w:sz w:val="20"/>
          <w:szCs w:val="20"/>
        </w:rPr>
        <w:t>Cette épreuve comprend deux parties :</w:t>
      </w:r>
    </w:p>
    <w:p w14:paraId="25B00EDB" w14:textId="77777777" w:rsidR="002D3C35" w:rsidRPr="00871473" w:rsidRDefault="002D3C35" w:rsidP="006A6001">
      <w:pPr>
        <w:rPr>
          <w:rFonts w:ascii="Arial" w:hAnsi="Arial" w:cs="Arial"/>
          <w:sz w:val="24"/>
          <w:szCs w:val="24"/>
        </w:rPr>
      </w:pPr>
    </w:p>
    <w:p w14:paraId="6E369D48" w14:textId="77777777" w:rsidR="002D3C35" w:rsidRPr="00871473" w:rsidRDefault="00880B8D" w:rsidP="00871473">
      <w:pPr>
        <w:tabs>
          <w:tab w:val="left" w:pos="142"/>
        </w:tabs>
        <w:jc w:val="both"/>
        <w:rPr>
          <w:rFonts w:ascii="Arial" w:eastAsia="Arial" w:hAnsi="Arial" w:cs="Arial"/>
          <w:i/>
          <w:iCs/>
          <w:sz w:val="20"/>
          <w:szCs w:val="20"/>
        </w:rPr>
      </w:pPr>
      <w:r w:rsidRPr="00871473">
        <w:rPr>
          <w:rFonts w:ascii="Arial" w:eastAsia="Arial" w:hAnsi="Arial" w:cs="Arial"/>
          <w:i/>
          <w:iCs/>
          <w:sz w:val="20"/>
          <w:szCs w:val="20"/>
        </w:rPr>
        <w:t>Première partie (Mobilisation de connaissances et traitement de l’information), il est demandé au candidat de répondre aux questions en mobilisant les connaissances acquises dans le cadre du programme, en adoptant une démarche méthodologique rigoureuse de collecte et d’exploitation de données quantitatives, et en ayant recours le cas échéant à des résolutions graphiques.</w:t>
      </w:r>
    </w:p>
    <w:p w14:paraId="403CB610" w14:textId="77777777" w:rsidR="002D3C35" w:rsidRPr="00871473" w:rsidRDefault="002D3C35" w:rsidP="00871473">
      <w:pPr>
        <w:rPr>
          <w:rFonts w:ascii="Arial" w:eastAsia="Arial" w:hAnsi="Arial" w:cs="Arial"/>
          <w:i/>
          <w:iCs/>
          <w:sz w:val="20"/>
          <w:szCs w:val="20"/>
        </w:rPr>
      </w:pPr>
    </w:p>
    <w:p w14:paraId="742154A8" w14:textId="77777777" w:rsidR="002D3C35" w:rsidRPr="00871473" w:rsidRDefault="00880B8D" w:rsidP="00871473">
      <w:pPr>
        <w:tabs>
          <w:tab w:val="left" w:pos="133"/>
        </w:tabs>
        <w:jc w:val="both"/>
        <w:rPr>
          <w:rFonts w:ascii="Arial" w:eastAsia="Arial" w:hAnsi="Arial" w:cs="Arial"/>
          <w:i/>
          <w:iCs/>
          <w:sz w:val="20"/>
          <w:szCs w:val="20"/>
        </w:rPr>
      </w:pPr>
      <w:r w:rsidRPr="00871473">
        <w:rPr>
          <w:rFonts w:ascii="Arial" w:eastAsia="Arial" w:hAnsi="Arial" w:cs="Arial"/>
          <w:i/>
          <w:iCs/>
          <w:sz w:val="20"/>
          <w:szCs w:val="20"/>
        </w:rPr>
        <w:t>Seconde partie (Raisonnement appuyé sur un dossier documentaire), il est demandé au candidat de traiter le sujet en développant un raisonnement de l’ordre d’une page, en exploitant les documents du dossier et en mobilisant ses connaissances.</w:t>
      </w:r>
    </w:p>
    <w:p w14:paraId="3DB9B0DC" w14:textId="77777777" w:rsidR="002D3C35" w:rsidRPr="00871473" w:rsidRDefault="002D3C35" w:rsidP="006A6001">
      <w:pPr>
        <w:rPr>
          <w:rFonts w:ascii="Arial" w:hAnsi="Arial" w:cs="Arial"/>
          <w:sz w:val="24"/>
          <w:szCs w:val="24"/>
        </w:rPr>
      </w:pPr>
    </w:p>
    <w:p w14:paraId="17C2BD45" w14:textId="77777777" w:rsidR="002D3C35" w:rsidRPr="00871473" w:rsidRDefault="00880B8D" w:rsidP="006A6001">
      <w:pPr>
        <w:ind w:left="7"/>
        <w:rPr>
          <w:rFonts w:ascii="Arial" w:hAnsi="Arial" w:cs="Arial"/>
          <w:sz w:val="20"/>
          <w:szCs w:val="20"/>
        </w:rPr>
      </w:pPr>
      <w:r w:rsidRPr="00871473">
        <w:rPr>
          <w:rFonts w:ascii="Arial" w:eastAsia="Arial" w:hAnsi="Arial" w:cs="Arial"/>
          <w:i/>
          <w:iCs/>
          <w:sz w:val="20"/>
          <w:szCs w:val="20"/>
        </w:rPr>
        <w:t>Il sera tenu compte, dans la notation, de la clarté de l’expression et du soin apporté à la présentation.</w:t>
      </w:r>
    </w:p>
    <w:p w14:paraId="24E3AF46" w14:textId="77777777" w:rsidR="002D3C35" w:rsidRPr="00871473" w:rsidRDefault="002D3C35" w:rsidP="006A6001">
      <w:pPr>
        <w:rPr>
          <w:rFonts w:ascii="Arial" w:hAnsi="Arial" w:cs="Arial"/>
          <w:sz w:val="24"/>
          <w:szCs w:val="24"/>
        </w:rPr>
      </w:pPr>
    </w:p>
    <w:p w14:paraId="0631903F" w14:textId="68FAAB94" w:rsidR="002D3C35" w:rsidRPr="00871473" w:rsidRDefault="00880B8D" w:rsidP="006A6001">
      <w:pPr>
        <w:spacing w:after="120"/>
        <w:ind w:left="6"/>
        <w:rPr>
          <w:rFonts w:ascii="Arial" w:eastAsia="Arial" w:hAnsi="Arial" w:cs="Arial"/>
          <w:b/>
          <w:bCs/>
        </w:rPr>
      </w:pPr>
      <w:r w:rsidRPr="00871473">
        <w:rPr>
          <w:rFonts w:ascii="Arial" w:eastAsia="Arial" w:hAnsi="Arial" w:cs="Arial"/>
          <w:b/>
          <w:bCs/>
        </w:rPr>
        <w:t>Première partie : Mobilisation de connaissances et traitement de l’information</w:t>
      </w:r>
    </w:p>
    <w:p w14:paraId="73952B8C" w14:textId="3CBAC047" w:rsidR="006A6001" w:rsidRPr="00871473" w:rsidRDefault="006A6001" w:rsidP="006A6001">
      <w:pPr>
        <w:ind w:left="7"/>
        <w:jc w:val="center"/>
        <w:rPr>
          <w:rFonts w:ascii="Arial" w:hAnsi="Arial" w:cs="Arial"/>
          <w:sz w:val="20"/>
          <w:szCs w:val="20"/>
        </w:rPr>
      </w:pPr>
      <w:r w:rsidRPr="00871473">
        <w:rPr>
          <w:rFonts w:ascii="Arial" w:hAnsi="Arial" w:cs="Arial"/>
          <w:noProof/>
        </w:rPr>
        <mc:AlternateContent>
          <mc:Choice Requires="wps">
            <w:drawing>
              <wp:anchor distT="0" distB="0" distL="114300" distR="114300" simplePos="0" relativeHeight="251662848" behindDoc="0" locked="0" layoutInCell="1" allowOverlap="1" wp14:anchorId="19064666" wp14:editId="2BE916AE">
                <wp:simplePos x="0" y="0"/>
                <wp:positionH relativeFrom="column">
                  <wp:posOffset>4333875</wp:posOffset>
                </wp:positionH>
                <wp:positionV relativeFrom="paragraph">
                  <wp:posOffset>567055</wp:posOffset>
                </wp:positionV>
                <wp:extent cx="0" cy="2962275"/>
                <wp:effectExtent l="0" t="0" r="38100" b="28575"/>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962275"/>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74F1B9" id="Connecteur droit 12"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25pt,44.65pt" to="341.25pt,2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" strokecolor="black [3213]" strokeweight="1.25pt">
                <v:stroke dashstyle="dash" joinstyle="miter"/>
                <o:lock v:ext="edit" shapetype="f"/>
              </v:line>
            </w:pict>
          </mc:Fallback>
        </mc:AlternateContent>
      </w:r>
      <w:r w:rsidRPr="00871473">
        <w:rPr>
          <w:rFonts w:ascii="Arial" w:hAnsi="Arial" w:cs="Arial"/>
          <w:noProof/>
        </w:rPr>
        <w:drawing>
          <wp:inline distT="0" distB="0" distL="0" distR="0" wp14:anchorId="6D3A01FD" wp14:editId="11483640">
            <wp:extent cx="5764989" cy="4124325"/>
            <wp:effectExtent l="0" t="0" r="7620" b="0"/>
            <wp:docPr id="11" name="Image 1">
              <a:extLst xmlns:a="http://schemas.openxmlformats.org/drawingml/2006/main">
                <a:ext uri="{FF2B5EF4-FFF2-40B4-BE49-F238E27FC236}">
                  <a16:creationId xmlns:a16="http://schemas.microsoft.com/office/drawing/2014/main" id="{7B57CD82-B99F-4A10-A364-E446145AC0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7B57CD82-B99F-4A10-A364-E446145AC056}"/>
                        </a:ext>
                      </a:extLst>
                    </pic:cNvPr>
                    <pic:cNvPicPr>
                      <a:picLocks noChangeAspect="1"/>
                    </pic:cNvPicPr>
                  </pic:nvPicPr>
                  <pic:blipFill>
                    <a:blip r:embed="rId6"/>
                    <a:stretch>
                      <a:fillRect/>
                    </a:stretch>
                  </pic:blipFill>
                  <pic:spPr>
                    <a:xfrm rot="10800000">
                      <a:off x="0" y="0"/>
                      <a:ext cx="5810521" cy="4156899"/>
                    </a:xfrm>
                    <a:prstGeom prst="rect">
                      <a:avLst/>
                    </a:prstGeom>
                  </pic:spPr>
                </pic:pic>
              </a:graphicData>
            </a:graphic>
          </wp:inline>
        </w:drawing>
      </w:r>
    </w:p>
    <w:p w14:paraId="6DCD8714" w14:textId="77777777" w:rsidR="001A101F" w:rsidRPr="00871473" w:rsidRDefault="001A101F" w:rsidP="006A6001">
      <w:pPr>
        <w:ind w:left="7"/>
        <w:rPr>
          <w:rFonts w:ascii="Arial" w:eastAsia="Arial" w:hAnsi="Arial" w:cs="Arial"/>
          <w:b/>
          <w:bCs/>
        </w:rPr>
      </w:pPr>
      <w:bookmarkStart w:id="0" w:name="page1"/>
      <w:bookmarkEnd w:id="0"/>
    </w:p>
    <w:p w14:paraId="00C3FDCF" w14:textId="77777777" w:rsidR="002D3C35" w:rsidRPr="00871473" w:rsidRDefault="00880B8D" w:rsidP="006A6001">
      <w:pPr>
        <w:ind w:left="7"/>
        <w:rPr>
          <w:rFonts w:ascii="Arial" w:hAnsi="Arial" w:cs="Arial"/>
          <w:sz w:val="20"/>
          <w:szCs w:val="20"/>
        </w:rPr>
      </w:pPr>
      <w:r w:rsidRPr="00871473">
        <w:rPr>
          <w:rFonts w:ascii="Arial" w:eastAsia="Arial" w:hAnsi="Arial" w:cs="Arial"/>
          <w:b/>
          <w:bCs/>
        </w:rPr>
        <w:t>Questions :</w:t>
      </w:r>
    </w:p>
    <w:p w14:paraId="79ECA545" w14:textId="77777777" w:rsidR="00416731" w:rsidRPr="00871473" w:rsidRDefault="00416731" w:rsidP="006A6001">
      <w:pPr>
        <w:rPr>
          <w:rFonts w:ascii="Arial" w:hAnsi="Arial" w:cs="Arial"/>
          <w:sz w:val="24"/>
          <w:szCs w:val="24"/>
        </w:rPr>
      </w:pPr>
    </w:p>
    <w:p w14:paraId="068D3551" w14:textId="77777777" w:rsidR="002D3C35" w:rsidRPr="00871473" w:rsidRDefault="00416731" w:rsidP="006A6001">
      <w:pPr>
        <w:numPr>
          <w:ilvl w:val="0"/>
          <w:numId w:val="2"/>
        </w:numPr>
        <w:ind w:left="284" w:hanging="284"/>
        <w:rPr>
          <w:rFonts w:ascii="Arial" w:eastAsia="Arial" w:hAnsi="Arial" w:cs="Arial"/>
        </w:rPr>
      </w:pPr>
      <w:r w:rsidRPr="00871473">
        <w:rPr>
          <w:rFonts w:ascii="Arial" w:eastAsia="Arial" w:hAnsi="Arial" w:cs="Arial"/>
        </w:rPr>
        <w:t>Expliquez ce qu’est un besoin de financement et une capacité de financement</w:t>
      </w:r>
      <w:r w:rsidR="001A101F" w:rsidRPr="00871473">
        <w:rPr>
          <w:rFonts w:ascii="Arial" w:eastAsia="Arial" w:hAnsi="Arial" w:cs="Arial"/>
        </w:rPr>
        <w:t>.</w:t>
      </w:r>
      <w:r w:rsidR="00880B8D" w:rsidRPr="00871473">
        <w:rPr>
          <w:rFonts w:ascii="Arial" w:eastAsia="Arial" w:hAnsi="Arial" w:cs="Arial"/>
        </w:rPr>
        <w:t xml:space="preserve"> (</w:t>
      </w:r>
      <w:r w:rsidR="006F3D01" w:rsidRPr="00871473">
        <w:rPr>
          <w:rFonts w:ascii="Arial" w:eastAsia="Arial" w:hAnsi="Arial" w:cs="Arial"/>
        </w:rPr>
        <w:t>3</w:t>
      </w:r>
      <w:r w:rsidR="00880B8D" w:rsidRPr="00871473">
        <w:rPr>
          <w:rFonts w:ascii="Arial" w:eastAsia="Arial" w:hAnsi="Arial" w:cs="Arial"/>
        </w:rPr>
        <w:t xml:space="preserve"> points)</w:t>
      </w:r>
    </w:p>
    <w:p w14:paraId="72431CFE" w14:textId="77777777" w:rsidR="002D3C35" w:rsidRPr="00871473" w:rsidRDefault="002D3C35" w:rsidP="006A6001">
      <w:pPr>
        <w:ind w:left="284" w:hanging="284"/>
        <w:rPr>
          <w:rFonts w:ascii="Arial" w:eastAsia="Arial" w:hAnsi="Arial" w:cs="Arial"/>
        </w:rPr>
      </w:pPr>
    </w:p>
    <w:p w14:paraId="13BC41CC" w14:textId="7425C988" w:rsidR="002D3C35" w:rsidRPr="00871473" w:rsidRDefault="006F3D01" w:rsidP="006A6001">
      <w:pPr>
        <w:numPr>
          <w:ilvl w:val="0"/>
          <w:numId w:val="2"/>
        </w:numPr>
        <w:tabs>
          <w:tab w:val="left" w:pos="715"/>
        </w:tabs>
        <w:ind w:left="284" w:hanging="284"/>
        <w:rPr>
          <w:rFonts w:ascii="Arial" w:eastAsia="Arial" w:hAnsi="Arial" w:cs="Arial"/>
        </w:rPr>
      </w:pPr>
      <w:r w:rsidRPr="00871473">
        <w:rPr>
          <w:rFonts w:ascii="Arial" w:eastAsia="Arial" w:hAnsi="Arial" w:cs="Arial"/>
        </w:rPr>
        <w:t>Comparez les situations des administrations publiques,</w:t>
      </w:r>
      <w:r w:rsidR="006A6001" w:rsidRPr="00871473">
        <w:rPr>
          <w:rFonts w:ascii="Arial" w:eastAsia="Arial" w:hAnsi="Arial" w:cs="Arial"/>
        </w:rPr>
        <w:t xml:space="preserve"> </w:t>
      </w:r>
      <w:r w:rsidRPr="00871473">
        <w:rPr>
          <w:rFonts w:ascii="Arial" w:eastAsia="Arial" w:hAnsi="Arial" w:cs="Arial"/>
        </w:rPr>
        <w:t xml:space="preserve">des ménages, des sociétés non financières et des sociétés financières depuis 1970. </w:t>
      </w:r>
      <w:r w:rsidR="00880B8D" w:rsidRPr="00871473">
        <w:rPr>
          <w:rFonts w:ascii="Arial" w:eastAsia="Arial" w:hAnsi="Arial" w:cs="Arial"/>
        </w:rPr>
        <w:t>(</w:t>
      </w:r>
      <w:r w:rsidR="00871473">
        <w:rPr>
          <w:rFonts w:ascii="Arial" w:eastAsia="Arial" w:hAnsi="Arial" w:cs="Arial"/>
        </w:rPr>
        <w:t>3</w:t>
      </w:r>
      <w:r w:rsidR="00880B8D" w:rsidRPr="00871473">
        <w:rPr>
          <w:rFonts w:ascii="Arial" w:eastAsia="Arial" w:hAnsi="Arial" w:cs="Arial"/>
        </w:rPr>
        <w:t xml:space="preserve"> points)</w:t>
      </w:r>
    </w:p>
    <w:p w14:paraId="3834FCF6" w14:textId="77777777" w:rsidR="002D3C35" w:rsidRPr="00871473" w:rsidRDefault="002D3C35" w:rsidP="006A6001">
      <w:pPr>
        <w:ind w:left="284" w:hanging="284"/>
        <w:rPr>
          <w:rFonts w:ascii="Arial" w:eastAsia="Arial" w:hAnsi="Arial" w:cs="Arial"/>
        </w:rPr>
      </w:pPr>
    </w:p>
    <w:p w14:paraId="4EC0D2A4" w14:textId="34DD3A81" w:rsidR="006F3D01" w:rsidRPr="00871473" w:rsidRDefault="001A101F" w:rsidP="005C1F09">
      <w:pPr>
        <w:numPr>
          <w:ilvl w:val="0"/>
          <w:numId w:val="2"/>
        </w:numPr>
        <w:tabs>
          <w:tab w:val="left" w:pos="715"/>
        </w:tabs>
        <w:ind w:left="284" w:hanging="284"/>
        <w:jc w:val="both"/>
        <w:rPr>
          <w:rFonts w:ascii="Arial" w:hAnsi="Arial" w:cs="Arial"/>
          <w:sz w:val="24"/>
          <w:szCs w:val="24"/>
        </w:rPr>
      </w:pPr>
      <w:r w:rsidRPr="00871473">
        <w:rPr>
          <w:rFonts w:ascii="Arial" w:eastAsia="Arial" w:hAnsi="Arial" w:cs="Arial"/>
        </w:rPr>
        <w:t xml:space="preserve">Présentez deux moyens que les entreprises peuvent utiliser pour couvrir </w:t>
      </w:r>
      <w:r w:rsidR="006F3D01" w:rsidRPr="00871473">
        <w:rPr>
          <w:rFonts w:ascii="Arial" w:eastAsia="Arial" w:hAnsi="Arial" w:cs="Arial"/>
        </w:rPr>
        <w:t>l</w:t>
      </w:r>
      <w:r w:rsidRPr="00871473">
        <w:rPr>
          <w:rFonts w:ascii="Arial" w:eastAsia="Arial" w:hAnsi="Arial" w:cs="Arial"/>
        </w:rPr>
        <w:t>eur besoin de financement.</w:t>
      </w:r>
      <w:r w:rsidR="00880B8D" w:rsidRPr="00871473">
        <w:rPr>
          <w:rFonts w:ascii="Arial" w:eastAsia="Arial" w:hAnsi="Arial" w:cs="Arial"/>
        </w:rPr>
        <w:t xml:space="preserve"> (</w:t>
      </w:r>
      <w:r w:rsidR="00400789" w:rsidRPr="00871473">
        <w:rPr>
          <w:rFonts w:ascii="Arial" w:eastAsia="Arial" w:hAnsi="Arial" w:cs="Arial"/>
        </w:rPr>
        <w:t>4</w:t>
      </w:r>
      <w:r w:rsidR="00880B8D" w:rsidRPr="00871473">
        <w:rPr>
          <w:rFonts w:ascii="Arial" w:eastAsia="Arial" w:hAnsi="Arial" w:cs="Arial"/>
        </w:rPr>
        <w:t xml:space="preserve"> points)</w:t>
      </w:r>
      <w:r w:rsidR="006F3D01" w:rsidRPr="00871473">
        <w:rPr>
          <w:rFonts w:ascii="Arial" w:hAnsi="Arial" w:cs="Arial"/>
          <w:sz w:val="24"/>
          <w:szCs w:val="24"/>
        </w:rPr>
        <w:br w:type="page"/>
      </w:r>
    </w:p>
    <w:p w14:paraId="67A52F43" w14:textId="77777777" w:rsidR="002D3C35" w:rsidRPr="00871473" w:rsidRDefault="00880B8D" w:rsidP="006A6001">
      <w:pPr>
        <w:rPr>
          <w:rFonts w:ascii="Arial" w:hAnsi="Arial" w:cs="Arial"/>
          <w:sz w:val="20"/>
          <w:szCs w:val="20"/>
        </w:rPr>
      </w:pPr>
      <w:bookmarkStart w:id="1" w:name="page2"/>
      <w:bookmarkEnd w:id="1"/>
      <w:r w:rsidRPr="00871473">
        <w:rPr>
          <w:rFonts w:ascii="Arial" w:eastAsia="Arial" w:hAnsi="Arial" w:cs="Arial"/>
          <w:b/>
          <w:bCs/>
        </w:rPr>
        <w:lastRenderedPageBreak/>
        <w:t>Seconde partie : Raisonnement appuyé sur un dossier documentaire (10 points)</w:t>
      </w:r>
    </w:p>
    <w:p w14:paraId="3EBB24B6" w14:textId="77777777" w:rsidR="002D3C35" w:rsidRPr="00871473" w:rsidRDefault="002D3C35" w:rsidP="006A6001">
      <w:pPr>
        <w:rPr>
          <w:rFonts w:ascii="Arial" w:hAnsi="Arial" w:cs="Arial"/>
          <w:sz w:val="20"/>
          <w:szCs w:val="20"/>
        </w:rPr>
      </w:pPr>
    </w:p>
    <w:p w14:paraId="2C7C1F47" w14:textId="77777777" w:rsidR="002D3C35" w:rsidRPr="00871473" w:rsidRDefault="00880B8D" w:rsidP="003C4EC3">
      <w:pPr>
        <w:pStyle w:val="TableParagraph"/>
        <w:spacing w:before="55"/>
        <w:ind w:left="0" w:right="89" w:firstLine="0"/>
        <w:jc w:val="both"/>
        <w:rPr>
          <w:sz w:val="24"/>
          <w:szCs w:val="24"/>
        </w:rPr>
      </w:pPr>
      <w:r w:rsidRPr="00871473">
        <w:rPr>
          <w:b/>
          <w:bCs/>
          <w:sz w:val="24"/>
          <w:szCs w:val="24"/>
        </w:rPr>
        <w:t xml:space="preserve">Sujet : </w:t>
      </w:r>
      <w:r w:rsidRPr="00871473">
        <w:rPr>
          <w:sz w:val="24"/>
          <w:szCs w:val="24"/>
        </w:rPr>
        <w:t>À l’aide du dossier documentaire et de vos conna</w:t>
      </w:r>
      <w:r w:rsidR="00400789" w:rsidRPr="00871473">
        <w:rPr>
          <w:sz w:val="24"/>
          <w:szCs w:val="24"/>
        </w:rPr>
        <w:t xml:space="preserve">issances, vous montrerez </w:t>
      </w:r>
      <w:r w:rsidR="001A101F" w:rsidRPr="00871473">
        <w:rPr>
          <w:sz w:val="24"/>
          <w:szCs w:val="24"/>
        </w:rPr>
        <w:t>qu’une politique de dépenses</w:t>
      </w:r>
      <w:r w:rsidR="00400789" w:rsidRPr="00871473">
        <w:rPr>
          <w:sz w:val="24"/>
          <w:szCs w:val="24"/>
        </w:rPr>
        <w:t xml:space="preserve"> </w:t>
      </w:r>
      <w:r w:rsidR="001A101F" w:rsidRPr="00871473">
        <w:rPr>
          <w:sz w:val="24"/>
          <w:szCs w:val="24"/>
        </w:rPr>
        <w:t>publiques</w:t>
      </w:r>
      <w:r w:rsidR="00400789" w:rsidRPr="00871473">
        <w:rPr>
          <w:sz w:val="24"/>
          <w:szCs w:val="24"/>
        </w:rPr>
        <w:t xml:space="preserve"> </w:t>
      </w:r>
      <w:r w:rsidR="001A101F" w:rsidRPr="00871473">
        <w:rPr>
          <w:sz w:val="24"/>
          <w:szCs w:val="24"/>
        </w:rPr>
        <w:t>peut avoir des effets contradictoires sur l’activité (relance de la demande / effet d’éviction)</w:t>
      </w:r>
      <w:r w:rsidRPr="00871473">
        <w:rPr>
          <w:sz w:val="24"/>
          <w:szCs w:val="24"/>
        </w:rPr>
        <w:t>.</w:t>
      </w:r>
    </w:p>
    <w:p w14:paraId="7DDA2F6B" w14:textId="2817EC53" w:rsidR="002D3C35" w:rsidRDefault="002D3C35" w:rsidP="006A6001">
      <w:pPr>
        <w:rPr>
          <w:rFonts w:ascii="Arial" w:hAnsi="Arial" w:cs="Arial"/>
          <w:sz w:val="20"/>
          <w:szCs w:val="20"/>
        </w:rPr>
      </w:pPr>
    </w:p>
    <w:p w14:paraId="38D20132" w14:textId="77777777" w:rsidR="00871473" w:rsidRPr="00871473" w:rsidRDefault="00871473" w:rsidP="006A6001">
      <w:pPr>
        <w:rPr>
          <w:rFonts w:ascii="Arial" w:hAnsi="Arial" w:cs="Arial"/>
          <w:sz w:val="20"/>
          <w:szCs w:val="20"/>
        </w:rPr>
      </w:pPr>
    </w:p>
    <w:p w14:paraId="365A1AE0" w14:textId="0AEB9F81" w:rsidR="002D3C35" w:rsidRPr="00871473" w:rsidRDefault="00880B8D" w:rsidP="003C4EC3">
      <w:pPr>
        <w:rPr>
          <w:rFonts w:ascii="Arial" w:hAnsi="Arial" w:cs="Arial"/>
          <w:b/>
          <w:bCs/>
          <w:sz w:val="20"/>
          <w:szCs w:val="20"/>
        </w:rPr>
      </w:pPr>
      <w:r w:rsidRPr="00871473">
        <w:rPr>
          <w:rFonts w:ascii="Arial" w:eastAsia="Arial" w:hAnsi="Arial" w:cs="Arial"/>
          <w:b/>
          <w:bCs/>
        </w:rPr>
        <w:t>Document 1</w:t>
      </w:r>
    </w:p>
    <w:p w14:paraId="2E4FB996" w14:textId="77777777" w:rsidR="009A021A" w:rsidRPr="00871473" w:rsidRDefault="009A021A" w:rsidP="006A6001">
      <w:pPr>
        <w:rPr>
          <w:rFonts w:ascii="Arial" w:hAnsi="Arial" w:cs="Arial"/>
          <w:sz w:val="20"/>
          <w:szCs w:val="20"/>
        </w:rPr>
      </w:pPr>
    </w:p>
    <w:tbl>
      <w:tblPr>
        <w:tblStyle w:val="Grilledutableau"/>
        <w:tblW w:w="0" w:type="auto"/>
        <w:jc w:val="center"/>
        <w:tblLook w:val="04A0" w:firstRow="1" w:lastRow="0" w:firstColumn="1" w:lastColumn="0" w:noHBand="0" w:noVBand="1"/>
      </w:tblPr>
      <w:tblGrid>
        <w:gridCol w:w="2228"/>
        <w:gridCol w:w="2188"/>
        <w:gridCol w:w="2299"/>
        <w:gridCol w:w="2295"/>
      </w:tblGrid>
      <w:tr w:rsidR="009A021A" w:rsidRPr="00871473" w14:paraId="1956F61F" w14:textId="77777777" w:rsidTr="003C4EC3">
        <w:trPr>
          <w:jc w:val="center"/>
        </w:trPr>
        <w:tc>
          <w:tcPr>
            <w:tcW w:w="2228" w:type="dxa"/>
            <w:vAlign w:val="center"/>
          </w:tcPr>
          <w:p w14:paraId="438F6F55" w14:textId="77777777" w:rsidR="009A021A" w:rsidRPr="00871473" w:rsidRDefault="0082594C" w:rsidP="006A6001">
            <w:pPr>
              <w:jc w:val="center"/>
              <w:rPr>
                <w:rFonts w:ascii="Arial" w:hAnsi="Arial" w:cs="Arial"/>
              </w:rPr>
            </w:pPr>
            <w:r w:rsidRPr="00871473">
              <w:rPr>
                <w:rFonts w:ascii="Arial" w:hAnsi="Arial" w:cs="Arial"/>
              </w:rPr>
              <w:t>Données 2018</w:t>
            </w:r>
          </w:p>
        </w:tc>
        <w:tc>
          <w:tcPr>
            <w:tcW w:w="2188" w:type="dxa"/>
            <w:vAlign w:val="center"/>
          </w:tcPr>
          <w:p w14:paraId="359A5CCD" w14:textId="77777777" w:rsidR="003C4EC3" w:rsidRPr="00871473" w:rsidRDefault="009A021A" w:rsidP="006A6001">
            <w:pPr>
              <w:jc w:val="center"/>
              <w:rPr>
                <w:rFonts w:ascii="Arial" w:hAnsi="Arial" w:cs="Arial"/>
              </w:rPr>
            </w:pPr>
            <w:r w:rsidRPr="00871473">
              <w:rPr>
                <w:rFonts w:ascii="Arial" w:hAnsi="Arial" w:cs="Arial"/>
              </w:rPr>
              <w:t>Taux d’intérêt à long terme</w:t>
            </w:r>
          </w:p>
          <w:p w14:paraId="70AEE06D" w14:textId="595F3C55" w:rsidR="009A021A" w:rsidRPr="00871473" w:rsidRDefault="009A021A" w:rsidP="006A6001">
            <w:pPr>
              <w:jc w:val="center"/>
              <w:rPr>
                <w:rFonts w:ascii="Arial" w:hAnsi="Arial" w:cs="Arial"/>
              </w:rPr>
            </w:pPr>
            <w:r w:rsidRPr="00871473">
              <w:rPr>
                <w:rFonts w:ascii="Arial" w:hAnsi="Arial" w:cs="Arial"/>
              </w:rPr>
              <w:t>(</w:t>
            </w:r>
            <w:r w:rsidR="0082594C" w:rsidRPr="00871473">
              <w:rPr>
                <w:rFonts w:ascii="Arial" w:hAnsi="Arial" w:cs="Arial"/>
              </w:rPr>
              <w:t>en % par an</w:t>
            </w:r>
            <w:r w:rsidRPr="00871473">
              <w:rPr>
                <w:rFonts w:ascii="Arial" w:hAnsi="Arial" w:cs="Arial"/>
              </w:rPr>
              <w:t>)</w:t>
            </w:r>
          </w:p>
        </w:tc>
        <w:tc>
          <w:tcPr>
            <w:tcW w:w="2299" w:type="dxa"/>
            <w:vAlign w:val="center"/>
          </w:tcPr>
          <w:p w14:paraId="7FE4998C" w14:textId="77777777" w:rsidR="00400789" w:rsidRPr="00871473" w:rsidRDefault="0082594C" w:rsidP="006A6001">
            <w:pPr>
              <w:jc w:val="center"/>
              <w:rPr>
                <w:rFonts w:ascii="Arial" w:hAnsi="Arial" w:cs="Arial"/>
              </w:rPr>
            </w:pPr>
            <w:r w:rsidRPr="00871473">
              <w:rPr>
                <w:rFonts w:ascii="Arial" w:hAnsi="Arial" w:cs="Arial"/>
              </w:rPr>
              <w:t>Déficit ou Excédent des Administration</w:t>
            </w:r>
            <w:r w:rsidR="00400789" w:rsidRPr="00871473">
              <w:rPr>
                <w:rFonts w:ascii="Arial" w:hAnsi="Arial" w:cs="Arial"/>
              </w:rPr>
              <w:t>s</w:t>
            </w:r>
            <w:r w:rsidRPr="00871473">
              <w:rPr>
                <w:rFonts w:ascii="Arial" w:hAnsi="Arial" w:cs="Arial"/>
              </w:rPr>
              <w:t xml:space="preserve"> publiques </w:t>
            </w:r>
          </w:p>
          <w:p w14:paraId="7FE39C0C" w14:textId="77777777" w:rsidR="009A021A" w:rsidRPr="00871473" w:rsidRDefault="0082594C" w:rsidP="006A6001">
            <w:pPr>
              <w:jc w:val="center"/>
              <w:rPr>
                <w:rFonts w:ascii="Arial" w:hAnsi="Arial" w:cs="Arial"/>
              </w:rPr>
            </w:pPr>
            <w:r w:rsidRPr="00871473">
              <w:rPr>
                <w:rFonts w:ascii="Arial" w:hAnsi="Arial" w:cs="Arial"/>
              </w:rPr>
              <w:t>(en % du PIB)</w:t>
            </w:r>
          </w:p>
        </w:tc>
        <w:tc>
          <w:tcPr>
            <w:tcW w:w="2295" w:type="dxa"/>
            <w:vAlign w:val="center"/>
          </w:tcPr>
          <w:p w14:paraId="59E672DE" w14:textId="08BCC968" w:rsidR="00400789" w:rsidRPr="00871473" w:rsidRDefault="009A021A" w:rsidP="006A6001">
            <w:pPr>
              <w:jc w:val="center"/>
              <w:rPr>
                <w:rFonts w:ascii="Arial" w:hAnsi="Arial" w:cs="Arial"/>
              </w:rPr>
            </w:pPr>
            <w:r w:rsidRPr="00871473">
              <w:rPr>
                <w:rFonts w:ascii="Arial" w:hAnsi="Arial" w:cs="Arial"/>
              </w:rPr>
              <w:t xml:space="preserve">Dette </w:t>
            </w:r>
            <w:r w:rsidR="001540AA" w:rsidRPr="00871473">
              <w:rPr>
                <w:rFonts w:ascii="Arial" w:hAnsi="Arial" w:cs="Arial"/>
              </w:rPr>
              <w:t>des administrations publiques</w:t>
            </w:r>
          </w:p>
          <w:p w14:paraId="78D187E3" w14:textId="77777777" w:rsidR="009A021A" w:rsidRPr="00871473" w:rsidRDefault="001540AA" w:rsidP="006A6001">
            <w:pPr>
              <w:jc w:val="center"/>
              <w:rPr>
                <w:rFonts w:ascii="Arial" w:hAnsi="Arial" w:cs="Arial"/>
              </w:rPr>
            </w:pPr>
            <w:r w:rsidRPr="00871473">
              <w:rPr>
                <w:rFonts w:ascii="Arial" w:hAnsi="Arial" w:cs="Arial"/>
              </w:rPr>
              <w:t>(en % du PIB)</w:t>
            </w:r>
          </w:p>
        </w:tc>
      </w:tr>
      <w:tr w:rsidR="006F3D01" w:rsidRPr="00871473" w14:paraId="70BB99F4" w14:textId="77777777" w:rsidTr="003C4EC3">
        <w:trPr>
          <w:trHeight w:val="284"/>
          <w:jc w:val="center"/>
        </w:trPr>
        <w:tc>
          <w:tcPr>
            <w:tcW w:w="2228" w:type="dxa"/>
            <w:vAlign w:val="center"/>
          </w:tcPr>
          <w:p w14:paraId="382CB10B" w14:textId="77777777" w:rsidR="006F3D01" w:rsidRPr="00871473" w:rsidRDefault="006F3D01" w:rsidP="006A6001">
            <w:pPr>
              <w:rPr>
                <w:rFonts w:ascii="Arial" w:hAnsi="Arial" w:cs="Arial"/>
              </w:rPr>
            </w:pPr>
            <w:r w:rsidRPr="00871473">
              <w:rPr>
                <w:rFonts w:ascii="Arial" w:hAnsi="Arial" w:cs="Arial"/>
              </w:rPr>
              <w:t>Canada</w:t>
            </w:r>
          </w:p>
        </w:tc>
        <w:tc>
          <w:tcPr>
            <w:tcW w:w="2188" w:type="dxa"/>
            <w:vAlign w:val="center"/>
          </w:tcPr>
          <w:p w14:paraId="2590CC2A" w14:textId="77777777" w:rsidR="006F3D01" w:rsidRPr="00871473" w:rsidRDefault="006F3D01" w:rsidP="006A6001">
            <w:pPr>
              <w:jc w:val="center"/>
              <w:rPr>
                <w:rFonts w:ascii="Arial" w:hAnsi="Arial" w:cs="Arial"/>
              </w:rPr>
            </w:pPr>
            <w:r w:rsidRPr="00871473">
              <w:rPr>
                <w:rFonts w:ascii="Arial" w:hAnsi="Arial" w:cs="Arial"/>
              </w:rPr>
              <w:t>0,3</w:t>
            </w:r>
          </w:p>
        </w:tc>
        <w:tc>
          <w:tcPr>
            <w:tcW w:w="2299" w:type="dxa"/>
            <w:vAlign w:val="center"/>
          </w:tcPr>
          <w:p w14:paraId="3EF52094" w14:textId="77777777" w:rsidR="006F3D01" w:rsidRPr="00871473" w:rsidRDefault="006F3D01" w:rsidP="006A6001">
            <w:pPr>
              <w:jc w:val="center"/>
              <w:rPr>
                <w:rFonts w:ascii="Arial" w:hAnsi="Arial" w:cs="Arial"/>
              </w:rPr>
            </w:pPr>
            <w:r w:rsidRPr="00871473">
              <w:rPr>
                <w:rFonts w:ascii="Arial" w:hAnsi="Arial" w:cs="Arial"/>
              </w:rPr>
              <w:t>-0,4</w:t>
            </w:r>
          </w:p>
        </w:tc>
        <w:tc>
          <w:tcPr>
            <w:tcW w:w="2295" w:type="dxa"/>
            <w:vAlign w:val="center"/>
          </w:tcPr>
          <w:p w14:paraId="5CEFA5E1" w14:textId="77777777" w:rsidR="006F3D01" w:rsidRPr="00871473" w:rsidRDefault="006F3D01" w:rsidP="006A6001">
            <w:pPr>
              <w:jc w:val="center"/>
              <w:rPr>
                <w:rFonts w:ascii="Arial" w:hAnsi="Arial" w:cs="Arial"/>
              </w:rPr>
            </w:pPr>
            <w:r w:rsidRPr="00871473">
              <w:rPr>
                <w:rFonts w:ascii="Arial" w:hAnsi="Arial" w:cs="Arial"/>
              </w:rPr>
              <w:t>115</w:t>
            </w:r>
          </w:p>
        </w:tc>
      </w:tr>
      <w:tr w:rsidR="006F3D01" w:rsidRPr="00871473" w14:paraId="06B072FB" w14:textId="77777777" w:rsidTr="003C4EC3">
        <w:trPr>
          <w:trHeight w:val="284"/>
          <w:jc w:val="center"/>
        </w:trPr>
        <w:tc>
          <w:tcPr>
            <w:tcW w:w="2228" w:type="dxa"/>
            <w:vAlign w:val="center"/>
          </w:tcPr>
          <w:p w14:paraId="680E1116" w14:textId="77777777" w:rsidR="006F3D01" w:rsidRPr="00871473" w:rsidRDefault="006F3D01" w:rsidP="006A6001">
            <w:pPr>
              <w:rPr>
                <w:rFonts w:ascii="Arial" w:hAnsi="Arial" w:cs="Arial"/>
              </w:rPr>
            </w:pPr>
            <w:r w:rsidRPr="00871473">
              <w:rPr>
                <w:rFonts w:ascii="Arial" w:hAnsi="Arial" w:cs="Arial"/>
              </w:rPr>
              <w:t>Allemagne</w:t>
            </w:r>
          </w:p>
        </w:tc>
        <w:tc>
          <w:tcPr>
            <w:tcW w:w="2188" w:type="dxa"/>
            <w:vAlign w:val="center"/>
          </w:tcPr>
          <w:p w14:paraId="7EB2651C" w14:textId="77777777" w:rsidR="006F3D01" w:rsidRPr="00871473" w:rsidRDefault="006F3D01" w:rsidP="006A6001">
            <w:pPr>
              <w:jc w:val="center"/>
              <w:rPr>
                <w:rFonts w:ascii="Arial" w:hAnsi="Arial" w:cs="Arial"/>
              </w:rPr>
            </w:pPr>
            <w:r w:rsidRPr="00871473">
              <w:rPr>
                <w:rFonts w:ascii="Arial" w:hAnsi="Arial" w:cs="Arial"/>
              </w:rPr>
              <w:t>0,4</w:t>
            </w:r>
          </w:p>
        </w:tc>
        <w:tc>
          <w:tcPr>
            <w:tcW w:w="2299" w:type="dxa"/>
            <w:vAlign w:val="center"/>
          </w:tcPr>
          <w:p w14:paraId="1CDDE77F" w14:textId="77777777" w:rsidR="006F3D01" w:rsidRPr="00871473" w:rsidRDefault="006F3D01" w:rsidP="006A6001">
            <w:pPr>
              <w:jc w:val="center"/>
              <w:rPr>
                <w:rFonts w:ascii="Arial" w:hAnsi="Arial" w:cs="Arial"/>
              </w:rPr>
            </w:pPr>
            <w:r w:rsidRPr="00871473">
              <w:rPr>
                <w:rFonts w:ascii="Arial" w:hAnsi="Arial" w:cs="Arial"/>
              </w:rPr>
              <w:t>1,9</w:t>
            </w:r>
          </w:p>
        </w:tc>
        <w:tc>
          <w:tcPr>
            <w:tcW w:w="2295" w:type="dxa"/>
            <w:vAlign w:val="center"/>
          </w:tcPr>
          <w:p w14:paraId="0806C496" w14:textId="77777777" w:rsidR="006F3D01" w:rsidRPr="00871473" w:rsidRDefault="006F3D01" w:rsidP="006A6001">
            <w:pPr>
              <w:jc w:val="center"/>
              <w:rPr>
                <w:rFonts w:ascii="Arial" w:hAnsi="Arial" w:cs="Arial"/>
              </w:rPr>
            </w:pPr>
            <w:r w:rsidRPr="00871473">
              <w:rPr>
                <w:rFonts w:ascii="Arial" w:hAnsi="Arial" w:cs="Arial"/>
              </w:rPr>
              <w:t>81</w:t>
            </w:r>
          </w:p>
        </w:tc>
      </w:tr>
      <w:tr w:rsidR="006F3D01" w:rsidRPr="00871473" w14:paraId="57D61B5C" w14:textId="77777777" w:rsidTr="003C4EC3">
        <w:trPr>
          <w:trHeight w:val="284"/>
          <w:jc w:val="center"/>
        </w:trPr>
        <w:tc>
          <w:tcPr>
            <w:tcW w:w="2228" w:type="dxa"/>
            <w:vAlign w:val="center"/>
          </w:tcPr>
          <w:p w14:paraId="3A37BB69" w14:textId="77777777" w:rsidR="006F3D01" w:rsidRPr="00871473" w:rsidRDefault="006F3D01" w:rsidP="006A6001">
            <w:pPr>
              <w:rPr>
                <w:rFonts w:ascii="Arial" w:hAnsi="Arial" w:cs="Arial"/>
              </w:rPr>
            </w:pPr>
            <w:r w:rsidRPr="00871473">
              <w:rPr>
                <w:rFonts w:ascii="Arial" w:hAnsi="Arial" w:cs="Arial"/>
              </w:rPr>
              <w:t>France</w:t>
            </w:r>
          </w:p>
        </w:tc>
        <w:tc>
          <w:tcPr>
            <w:tcW w:w="2188" w:type="dxa"/>
            <w:vAlign w:val="center"/>
          </w:tcPr>
          <w:p w14:paraId="071D75C7" w14:textId="77777777" w:rsidR="006F3D01" w:rsidRPr="00871473" w:rsidRDefault="006F3D01" w:rsidP="006A6001">
            <w:pPr>
              <w:jc w:val="center"/>
              <w:rPr>
                <w:rFonts w:ascii="Arial" w:hAnsi="Arial" w:cs="Arial"/>
              </w:rPr>
            </w:pPr>
            <w:r w:rsidRPr="00871473">
              <w:rPr>
                <w:rFonts w:ascii="Arial" w:hAnsi="Arial" w:cs="Arial"/>
              </w:rPr>
              <w:t>0,8</w:t>
            </w:r>
          </w:p>
        </w:tc>
        <w:tc>
          <w:tcPr>
            <w:tcW w:w="2299" w:type="dxa"/>
            <w:vAlign w:val="center"/>
          </w:tcPr>
          <w:p w14:paraId="103C037A" w14:textId="77777777" w:rsidR="006F3D01" w:rsidRPr="00871473" w:rsidRDefault="006F3D01" w:rsidP="006A6001">
            <w:pPr>
              <w:jc w:val="center"/>
              <w:rPr>
                <w:rFonts w:ascii="Arial" w:hAnsi="Arial" w:cs="Arial"/>
              </w:rPr>
            </w:pPr>
            <w:r w:rsidRPr="00871473">
              <w:rPr>
                <w:rFonts w:ascii="Arial" w:hAnsi="Arial" w:cs="Arial"/>
              </w:rPr>
              <w:t>-2,5</w:t>
            </w:r>
          </w:p>
        </w:tc>
        <w:tc>
          <w:tcPr>
            <w:tcW w:w="2295" w:type="dxa"/>
            <w:vAlign w:val="center"/>
          </w:tcPr>
          <w:p w14:paraId="695E0AED" w14:textId="77777777" w:rsidR="006F3D01" w:rsidRPr="00871473" w:rsidRDefault="006F3D01" w:rsidP="006A6001">
            <w:pPr>
              <w:jc w:val="center"/>
              <w:rPr>
                <w:rFonts w:ascii="Arial" w:hAnsi="Arial" w:cs="Arial"/>
              </w:rPr>
            </w:pPr>
            <w:r w:rsidRPr="00871473">
              <w:rPr>
                <w:rFonts w:ascii="Arial" w:hAnsi="Arial" w:cs="Arial"/>
              </w:rPr>
              <w:t>121</w:t>
            </w:r>
          </w:p>
        </w:tc>
      </w:tr>
      <w:tr w:rsidR="006F3D01" w:rsidRPr="00871473" w14:paraId="3DC1CDF3" w14:textId="77777777" w:rsidTr="003C4EC3">
        <w:trPr>
          <w:trHeight w:val="284"/>
          <w:jc w:val="center"/>
        </w:trPr>
        <w:tc>
          <w:tcPr>
            <w:tcW w:w="2228" w:type="dxa"/>
            <w:vAlign w:val="center"/>
          </w:tcPr>
          <w:p w14:paraId="4BE47C87" w14:textId="77777777" w:rsidR="006F3D01" w:rsidRPr="00871473" w:rsidRDefault="006F3D01" w:rsidP="006A6001">
            <w:pPr>
              <w:rPr>
                <w:rFonts w:ascii="Arial" w:hAnsi="Arial" w:cs="Arial"/>
              </w:rPr>
            </w:pPr>
            <w:r w:rsidRPr="00871473">
              <w:rPr>
                <w:rFonts w:ascii="Arial" w:hAnsi="Arial" w:cs="Arial"/>
              </w:rPr>
              <w:t>Royaume-Uni</w:t>
            </w:r>
          </w:p>
        </w:tc>
        <w:tc>
          <w:tcPr>
            <w:tcW w:w="2188" w:type="dxa"/>
            <w:vAlign w:val="center"/>
          </w:tcPr>
          <w:p w14:paraId="178A144C" w14:textId="77777777" w:rsidR="006F3D01" w:rsidRPr="00871473" w:rsidRDefault="006F3D01" w:rsidP="006A6001">
            <w:pPr>
              <w:jc w:val="center"/>
              <w:rPr>
                <w:rFonts w:ascii="Arial" w:hAnsi="Arial" w:cs="Arial"/>
              </w:rPr>
            </w:pPr>
            <w:r w:rsidRPr="00871473">
              <w:rPr>
                <w:rFonts w:ascii="Arial" w:hAnsi="Arial" w:cs="Arial"/>
              </w:rPr>
              <w:t>1,5</w:t>
            </w:r>
          </w:p>
        </w:tc>
        <w:tc>
          <w:tcPr>
            <w:tcW w:w="2299" w:type="dxa"/>
            <w:vAlign w:val="center"/>
          </w:tcPr>
          <w:p w14:paraId="27396581" w14:textId="77777777" w:rsidR="006F3D01" w:rsidRPr="00871473" w:rsidRDefault="006F3D01" w:rsidP="006A6001">
            <w:pPr>
              <w:jc w:val="center"/>
              <w:rPr>
                <w:rFonts w:ascii="Arial" w:hAnsi="Arial" w:cs="Arial"/>
              </w:rPr>
            </w:pPr>
            <w:r w:rsidRPr="00871473">
              <w:rPr>
                <w:rFonts w:ascii="Arial" w:hAnsi="Arial" w:cs="Arial"/>
              </w:rPr>
              <w:t>-2,3</w:t>
            </w:r>
          </w:p>
        </w:tc>
        <w:tc>
          <w:tcPr>
            <w:tcW w:w="2295" w:type="dxa"/>
            <w:vAlign w:val="center"/>
          </w:tcPr>
          <w:p w14:paraId="5FF7BAB0" w14:textId="77777777" w:rsidR="006F3D01" w:rsidRPr="00871473" w:rsidRDefault="006F3D01" w:rsidP="006A6001">
            <w:pPr>
              <w:jc w:val="center"/>
              <w:rPr>
                <w:rFonts w:ascii="Arial" w:hAnsi="Arial" w:cs="Arial"/>
              </w:rPr>
            </w:pPr>
            <w:r w:rsidRPr="00871473">
              <w:rPr>
                <w:rFonts w:ascii="Arial" w:hAnsi="Arial" w:cs="Arial"/>
              </w:rPr>
              <w:t>108</w:t>
            </w:r>
          </w:p>
        </w:tc>
      </w:tr>
      <w:tr w:rsidR="006F3D01" w:rsidRPr="00871473" w14:paraId="17435486" w14:textId="77777777" w:rsidTr="003C4EC3">
        <w:trPr>
          <w:trHeight w:val="284"/>
          <w:jc w:val="center"/>
        </w:trPr>
        <w:tc>
          <w:tcPr>
            <w:tcW w:w="2228" w:type="dxa"/>
            <w:vAlign w:val="center"/>
          </w:tcPr>
          <w:p w14:paraId="4F06BF37" w14:textId="77777777" w:rsidR="006F3D01" w:rsidRPr="00871473" w:rsidRDefault="006F3D01" w:rsidP="006A6001">
            <w:pPr>
              <w:rPr>
                <w:rFonts w:ascii="Arial" w:hAnsi="Arial" w:cs="Arial"/>
              </w:rPr>
            </w:pPr>
            <w:r w:rsidRPr="00871473">
              <w:rPr>
                <w:rFonts w:ascii="Arial" w:hAnsi="Arial" w:cs="Arial"/>
              </w:rPr>
              <w:t>Italie</w:t>
            </w:r>
          </w:p>
        </w:tc>
        <w:tc>
          <w:tcPr>
            <w:tcW w:w="2188" w:type="dxa"/>
            <w:vAlign w:val="center"/>
          </w:tcPr>
          <w:p w14:paraId="50E275F3" w14:textId="77777777" w:rsidR="006F3D01" w:rsidRPr="00871473" w:rsidRDefault="006F3D01" w:rsidP="006A6001">
            <w:pPr>
              <w:jc w:val="center"/>
              <w:rPr>
                <w:rFonts w:ascii="Arial" w:hAnsi="Arial" w:cs="Arial"/>
              </w:rPr>
            </w:pPr>
            <w:r w:rsidRPr="00871473">
              <w:rPr>
                <w:rFonts w:ascii="Arial" w:hAnsi="Arial" w:cs="Arial"/>
              </w:rPr>
              <w:t>2,6</w:t>
            </w:r>
          </w:p>
        </w:tc>
        <w:tc>
          <w:tcPr>
            <w:tcW w:w="2299" w:type="dxa"/>
            <w:vAlign w:val="center"/>
          </w:tcPr>
          <w:p w14:paraId="1AD3C45F" w14:textId="77777777" w:rsidR="006F3D01" w:rsidRPr="00871473" w:rsidRDefault="006F3D01" w:rsidP="006A6001">
            <w:pPr>
              <w:jc w:val="center"/>
              <w:rPr>
                <w:rFonts w:ascii="Arial" w:hAnsi="Arial" w:cs="Arial"/>
              </w:rPr>
            </w:pPr>
            <w:r w:rsidRPr="00871473">
              <w:rPr>
                <w:rFonts w:ascii="Arial" w:hAnsi="Arial" w:cs="Arial"/>
              </w:rPr>
              <w:t>-2,2</w:t>
            </w:r>
          </w:p>
        </w:tc>
        <w:tc>
          <w:tcPr>
            <w:tcW w:w="2295" w:type="dxa"/>
            <w:vAlign w:val="center"/>
          </w:tcPr>
          <w:p w14:paraId="492122DD" w14:textId="77777777" w:rsidR="006F3D01" w:rsidRPr="00871473" w:rsidRDefault="006F3D01" w:rsidP="006A6001">
            <w:pPr>
              <w:jc w:val="center"/>
              <w:rPr>
                <w:rFonts w:ascii="Arial" w:hAnsi="Arial" w:cs="Arial"/>
              </w:rPr>
            </w:pPr>
            <w:r w:rsidRPr="00871473">
              <w:rPr>
                <w:rFonts w:ascii="Arial" w:hAnsi="Arial" w:cs="Arial"/>
              </w:rPr>
              <w:t>157</w:t>
            </w:r>
          </w:p>
        </w:tc>
      </w:tr>
      <w:tr w:rsidR="006F3D01" w:rsidRPr="00871473" w14:paraId="5586D9B6" w14:textId="77777777" w:rsidTr="003C4EC3">
        <w:trPr>
          <w:trHeight w:val="284"/>
          <w:jc w:val="center"/>
        </w:trPr>
        <w:tc>
          <w:tcPr>
            <w:tcW w:w="2228" w:type="dxa"/>
            <w:vAlign w:val="center"/>
          </w:tcPr>
          <w:p w14:paraId="0D0E6329" w14:textId="77777777" w:rsidR="006F3D01" w:rsidRPr="00871473" w:rsidRDefault="006F3D01" w:rsidP="006A6001">
            <w:pPr>
              <w:rPr>
                <w:rFonts w:ascii="Arial" w:hAnsi="Arial" w:cs="Arial"/>
              </w:rPr>
            </w:pPr>
            <w:r w:rsidRPr="00871473">
              <w:rPr>
                <w:rFonts w:ascii="Arial" w:hAnsi="Arial" w:cs="Arial"/>
              </w:rPr>
              <w:t>Etats-Unis</w:t>
            </w:r>
          </w:p>
        </w:tc>
        <w:tc>
          <w:tcPr>
            <w:tcW w:w="2188" w:type="dxa"/>
            <w:vAlign w:val="center"/>
          </w:tcPr>
          <w:p w14:paraId="7BFEE47F" w14:textId="77777777" w:rsidR="006F3D01" w:rsidRPr="00871473" w:rsidRDefault="006F3D01" w:rsidP="006A6001">
            <w:pPr>
              <w:jc w:val="center"/>
              <w:rPr>
                <w:rFonts w:ascii="Arial" w:hAnsi="Arial" w:cs="Arial"/>
              </w:rPr>
            </w:pPr>
            <w:r w:rsidRPr="00871473">
              <w:rPr>
                <w:rFonts w:ascii="Arial" w:hAnsi="Arial" w:cs="Arial"/>
              </w:rPr>
              <w:t>2,9</w:t>
            </w:r>
          </w:p>
        </w:tc>
        <w:tc>
          <w:tcPr>
            <w:tcW w:w="2299" w:type="dxa"/>
            <w:vAlign w:val="center"/>
          </w:tcPr>
          <w:p w14:paraId="7C90DCB6" w14:textId="77777777" w:rsidR="006F3D01" w:rsidRPr="00871473" w:rsidRDefault="006F3D01" w:rsidP="006A6001">
            <w:pPr>
              <w:jc w:val="center"/>
              <w:rPr>
                <w:rFonts w:ascii="Arial" w:hAnsi="Arial" w:cs="Arial"/>
              </w:rPr>
            </w:pPr>
            <w:r w:rsidRPr="00871473">
              <w:rPr>
                <w:rFonts w:ascii="Arial" w:hAnsi="Arial" w:cs="Arial"/>
              </w:rPr>
              <w:t>-6,6</w:t>
            </w:r>
          </w:p>
        </w:tc>
        <w:tc>
          <w:tcPr>
            <w:tcW w:w="2295" w:type="dxa"/>
            <w:vAlign w:val="center"/>
          </w:tcPr>
          <w:p w14:paraId="5C7026A1" w14:textId="77777777" w:rsidR="006F3D01" w:rsidRPr="00871473" w:rsidRDefault="006F3D01" w:rsidP="006A6001">
            <w:pPr>
              <w:jc w:val="center"/>
              <w:rPr>
                <w:rFonts w:ascii="Arial" w:hAnsi="Arial" w:cs="Arial"/>
              </w:rPr>
            </w:pPr>
            <w:r w:rsidRPr="00871473">
              <w:rPr>
                <w:rFonts w:ascii="Arial" w:hAnsi="Arial" w:cs="Arial"/>
              </w:rPr>
              <w:t>136</w:t>
            </w:r>
          </w:p>
        </w:tc>
      </w:tr>
      <w:tr w:rsidR="006F3D01" w:rsidRPr="00871473" w14:paraId="2005BD11" w14:textId="77777777" w:rsidTr="003C4EC3">
        <w:trPr>
          <w:trHeight w:val="284"/>
          <w:jc w:val="center"/>
        </w:trPr>
        <w:tc>
          <w:tcPr>
            <w:tcW w:w="2228" w:type="dxa"/>
            <w:vAlign w:val="center"/>
          </w:tcPr>
          <w:p w14:paraId="315AF22F" w14:textId="77777777" w:rsidR="006F3D01" w:rsidRPr="00871473" w:rsidRDefault="006F3D01" w:rsidP="006A6001">
            <w:pPr>
              <w:rPr>
                <w:rFonts w:ascii="Arial" w:hAnsi="Arial" w:cs="Arial"/>
              </w:rPr>
            </w:pPr>
            <w:r w:rsidRPr="00871473">
              <w:rPr>
                <w:rFonts w:ascii="Arial" w:hAnsi="Arial" w:cs="Arial"/>
              </w:rPr>
              <w:t>Grèce</w:t>
            </w:r>
          </w:p>
        </w:tc>
        <w:tc>
          <w:tcPr>
            <w:tcW w:w="2188" w:type="dxa"/>
            <w:vAlign w:val="center"/>
          </w:tcPr>
          <w:p w14:paraId="0909D177" w14:textId="77777777" w:rsidR="006F3D01" w:rsidRPr="00871473" w:rsidRDefault="006F3D01" w:rsidP="006A6001">
            <w:pPr>
              <w:jc w:val="center"/>
              <w:rPr>
                <w:rFonts w:ascii="Arial" w:hAnsi="Arial" w:cs="Arial"/>
              </w:rPr>
            </w:pPr>
            <w:r w:rsidRPr="00871473">
              <w:rPr>
                <w:rFonts w:ascii="Arial" w:hAnsi="Arial" w:cs="Arial"/>
              </w:rPr>
              <w:t>4,2</w:t>
            </w:r>
          </w:p>
        </w:tc>
        <w:tc>
          <w:tcPr>
            <w:tcW w:w="2299" w:type="dxa"/>
            <w:vAlign w:val="center"/>
          </w:tcPr>
          <w:p w14:paraId="58B57448" w14:textId="77777777" w:rsidR="006F3D01" w:rsidRPr="00871473" w:rsidRDefault="006F3D01" w:rsidP="006A6001">
            <w:pPr>
              <w:jc w:val="center"/>
              <w:rPr>
                <w:rFonts w:ascii="Arial" w:hAnsi="Arial" w:cs="Arial"/>
              </w:rPr>
            </w:pPr>
            <w:r w:rsidRPr="00871473">
              <w:rPr>
                <w:rFonts w:ascii="Arial" w:hAnsi="Arial" w:cs="Arial"/>
              </w:rPr>
              <w:t>1</w:t>
            </w:r>
          </w:p>
        </w:tc>
        <w:tc>
          <w:tcPr>
            <w:tcW w:w="2295" w:type="dxa"/>
            <w:vAlign w:val="center"/>
          </w:tcPr>
          <w:p w14:paraId="443AD4E2" w14:textId="77777777" w:rsidR="006F3D01" w:rsidRPr="00871473" w:rsidRDefault="006F3D01" w:rsidP="006A6001">
            <w:pPr>
              <w:jc w:val="center"/>
              <w:rPr>
                <w:rFonts w:ascii="Arial" w:hAnsi="Arial" w:cs="Arial"/>
              </w:rPr>
            </w:pPr>
            <w:r w:rsidRPr="00871473">
              <w:rPr>
                <w:rFonts w:ascii="Arial" w:hAnsi="Arial" w:cs="Arial"/>
              </w:rPr>
              <w:t>183</w:t>
            </w:r>
          </w:p>
        </w:tc>
      </w:tr>
    </w:tbl>
    <w:p w14:paraId="5639E259" w14:textId="40A79235" w:rsidR="009A021A" w:rsidRPr="00871473" w:rsidRDefault="003C4EC3" w:rsidP="003C4EC3">
      <w:pPr>
        <w:spacing w:before="120"/>
        <w:ind w:right="276"/>
        <w:jc w:val="right"/>
        <w:rPr>
          <w:rFonts w:ascii="Arial" w:hAnsi="Arial" w:cs="Arial"/>
        </w:rPr>
      </w:pPr>
      <w:r w:rsidRPr="00871473">
        <w:rPr>
          <w:rFonts w:ascii="Arial" w:hAnsi="Arial" w:cs="Arial"/>
        </w:rPr>
        <w:t>Source : OCDE https://data.oecd.org/fr/</w:t>
      </w:r>
      <w:r w:rsidRPr="00871473">
        <w:rPr>
          <w:rFonts w:ascii="Arial" w:hAnsi="Arial" w:cs="Arial"/>
        </w:rPr>
        <w:t>.</w:t>
      </w:r>
    </w:p>
    <w:p w14:paraId="05AD53FE" w14:textId="6B84BB38" w:rsidR="002D3C35" w:rsidRDefault="002D3C35" w:rsidP="006A6001">
      <w:pPr>
        <w:rPr>
          <w:rFonts w:ascii="Arial" w:hAnsi="Arial" w:cs="Arial"/>
          <w:sz w:val="20"/>
          <w:szCs w:val="20"/>
        </w:rPr>
      </w:pPr>
    </w:p>
    <w:p w14:paraId="5E0F4E4D" w14:textId="77777777" w:rsidR="00871473" w:rsidRPr="00871473" w:rsidRDefault="00871473" w:rsidP="006A6001">
      <w:pPr>
        <w:rPr>
          <w:rFonts w:ascii="Arial" w:hAnsi="Arial" w:cs="Arial"/>
          <w:sz w:val="20"/>
          <w:szCs w:val="20"/>
        </w:rPr>
      </w:pPr>
    </w:p>
    <w:p w14:paraId="36D31906" w14:textId="56545588" w:rsidR="002D3C35" w:rsidRPr="00871473" w:rsidRDefault="00880B8D" w:rsidP="006A6001">
      <w:pPr>
        <w:rPr>
          <w:rFonts w:ascii="Arial" w:hAnsi="Arial" w:cs="Arial"/>
          <w:b/>
          <w:bCs/>
          <w:sz w:val="20"/>
          <w:szCs w:val="20"/>
        </w:rPr>
      </w:pPr>
      <w:r w:rsidRPr="00871473">
        <w:rPr>
          <w:rFonts w:ascii="Arial" w:eastAsia="Arial" w:hAnsi="Arial" w:cs="Arial"/>
          <w:b/>
          <w:bCs/>
        </w:rPr>
        <w:t>Document 2</w:t>
      </w:r>
    </w:p>
    <w:p w14:paraId="5B73C5F5" w14:textId="77777777" w:rsidR="00D53991" w:rsidRPr="00871473" w:rsidRDefault="00D53991" w:rsidP="003C4EC3">
      <w:pPr>
        <w:jc w:val="both"/>
        <w:rPr>
          <w:rFonts w:ascii="Arial" w:eastAsia="Times New Roman" w:hAnsi="Arial" w:cs="Arial"/>
        </w:rPr>
      </w:pPr>
      <w:r w:rsidRPr="00871473">
        <w:rPr>
          <w:rFonts w:ascii="Arial" w:eastAsia="Times New Roman" w:hAnsi="Arial" w:cs="Arial"/>
        </w:rPr>
        <w:t xml:space="preserve">Lors de son </w:t>
      </w:r>
      <w:hyperlink r:id="rId7" w:tgtFrame="_blank" w:history="1">
        <w:r w:rsidRPr="00871473">
          <w:rPr>
            <w:rFonts w:ascii="Arial" w:eastAsia="Times New Roman" w:hAnsi="Arial" w:cs="Arial"/>
          </w:rPr>
          <w:t>premier discours officiel</w:t>
        </w:r>
      </w:hyperlink>
      <w:r w:rsidRPr="00871473">
        <w:rPr>
          <w:rFonts w:ascii="Arial" w:eastAsia="Times New Roman" w:hAnsi="Arial" w:cs="Arial"/>
        </w:rPr>
        <w:t xml:space="preserve"> comme directrice de la BCE, […] Christine Lagarde a appelé les États de la zone euro à investir davantage afin de soutenir et renforcer leur demande intérieure face à un environnement international de plus en plus incertain.</w:t>
      </w:r>
      <w:r w:rsidRPr="00871473">
        <w:rPr>
          <w:rFonts w:ascii="Arial" w:eastAsia="Times New Roman" w:hAnsi="Arial" w:cs="Arial"/>
          <w:i/>
          <w:iCs/>
        </w:rPr>
        <w:t>[…]</w:t>
      </w:r>
    </w:p>
    <w:p w14:paraId="037E2C7D" w14:textId="77777777" w:rsidR="00D53991" w:rsidRPr="00871473" w:rsidRDefault="00D53991" w:rsidP="003C4EC3">
      <w:pPr>
        <w:jc w:val="both"/>
        <w:rPr>
          <w:rFonts w:ascii="Arial" w:eastAsia="Times New Roman" w:hAnsi="Arial" w:cs="Arial"/>
        </w:rPr>
      </w:pPr>
      <w:r w:rsidRPr="00871473">
        <w:rPr>
          <w:rFonts w:ascii="Arial" w:eastAsia="Times New Roman" w:hAnsi="Arial" w:cs="Arial"/>
        </w:rPr>
        <w:t>Les économies développées doivent faire face à une décélération de leur taux de croissance. Visible sur le long terme, cette dynamique est liée […] au ralentissement de leur demande intérieure.</w:t>
      </w:r>
      <w:r w:rsidRPr="00871473">
        <w:rPr>
          <w:rFonts w:ascii="Arial" w:eastAsia="Times New Roman" w:hAnsi="Arial" w:cs="Arial"/>
          <w:i/>
          <w:iCs/>
        </w:rPr>
        <w:t>[…]</w:t>
      </w:r>
    </w:p>
    <w:p w14:paraId="1A7D5AC7" w14:textId="7649693C" w:rsidR="00D53991" w:rsidRPr="00871473" w:rsidRDefault="00D53991" w:rsidP="003C4EC3">
      <w:pPr>
        <w:jc w:val="both"/>
        <w:rPr>
          <w:rFonts w:ascii="Arial" w:eastAsia="Times New Roman" w:hAnsi="Arial" w:cs="Arial"/>
        </w:rPr>
      </w:pPr>
      <w:r w:rsidRPr="00871473">
        <w:rPr>
          <w:rFonts w:ascii="Arial" w:eastAsia="Times New Roman" w:hAnsi="Arial" w:cs="Arial"/>
          <w:i/>
          <w:iCs/>
        </w:rPr>
        <w:t>«</w:t>
      </w:r>
      <w:r w:rsidR="003C4EC3" w:rsidRPr="00871473">
        <w:rPr>
          <w:rFonts w:ascii="Arial" w:eastAsia="Times New Roman" w:hAnsi="Arial" w:cs="Arial"/>
          <w:i/>
          <w:iCs/>
        </w:rPr>
        <w:t xml:space="preserve"> </w:t>
      </w:r>
      <w:r w:rsidRPr="00871473">
        <w:rPr>
          <w:rFonts w:ascii="Arial" w:eastAsia="Times New Roman" w:hAnsi="Arial" w:cs="Arial"/>
          <w:i/>
          <w:iCs/>
        </w:rPr>
        <w:t>Une demande intérieure plus forte permet aux économies de mieux résister aux fluctuations du cycle économique mondial</w:t>
      </w:r>
      <w:r w:rsidR="003C4EC3" w:rsidRPr="00871473">
        <w:rPr>
          <w:rFonts w:ascii="Arial" w:eastAsia="Times New Roman" w:hAnsi="Arial" w:cs="Arial"/>
          <w:i/>
          <w:iCs/>
        </w:rPr>
        <w:t xml:space="preserve"> </w:t>
      </w:r>
      <w:r w:rsidRPr="00871473">
        <w:rPr>
          <w:rFonts w:ascii="Arial" w:eastAsia="Times New Roman" w:hAnsi="Arial" w:cs="Arial"/>
          <w:i/>
          <w:iCs/>
        </w:rPr>
        <w:t>»</w:t>
      </w:r>
      <w:r w:rsidRPr="00871473">
        <w:rPr>
          <w:rFonts w:ascii="Arial" w:eastAsia="Times New Roman" w:hAnsi="Arial" w:cs="Arial"/>
        </w:rPr>
        <w:t>, et</w:t>
      </w:r>
      <w:r w:rsidRPr="00871473">
        <w:rPr>
          <w:rFonts w:ascii="Arial" w:eastAsia="Times New Roman" w:hAnsi="Arial" w:cs="Arial"/>
          <w:i/>
          <w:iCs/>
        </w:rPr>
        <w:t xml:space="preserve"> «</w:t>
      </w:r>
      <w:r w:rsidR="003C4EC3" w:rsidRPr="00871473">
        <w:rPr>
          <w:rFonts w:ascii="Arial" w:eastAsia="Times New Roman" w:hAnsi="Arial" w:cs="Arial"/>
          <w:i/>
          <w:iCs/>
        </w:rPr>
        <w:t xml:space="preserve"> </w:t>
      </w:r>
      <w:r w:rsidRPr="00871473">
        <w:rPr>
          <w:rFonts w:ascii="Arial" w:eastAsia="Times New Roman" w:hAnsi="Arial" w:cs="Arial"/>
          <w:i/>
          <w:iCs/>
        </w:rPr>
        <w:t>contribue à protéger les emplois</w:t>
      </w:r>
      <w:r w:rsidR="003C4EC3" w:rsidRPr="00871473">
        <w:rPr>
          <w:rFonts w:ascii="Arial" w:eastAsia="Times New Roman" w:hAnsi="Arial" w:cs="Arial"/>
          <w:i/>
          <w:iCs/>
        </w:rPr>
        <w:t xml:space="preserve"> </w:t>
      </w:r>
      <w:r w:rsidRPr="00871473">
        <w:rPr>
          <w:rFonts w:ascii="Arial" w:eastAsia="Times New Roman" w:hAnsi="Arial" w:cs="Arial"/>
          <w:i/>
          <w:iCs/>
        </w:rPr>
        <w:t>»</w:t>
      </w:r>
      <w:r w:rsidRPr="00871473">
        <w:rPr>
          <w:rFonts w:ascii="Arial" w:eastAsia="Times New Roman" w:hAnsi="Arial" w:cs="Arial"/>
        </w:rPr>
        <w:t xml:space="preserve">, constituant une défense en cas de crise internationale, en effet. </w:t>
      </w:r>
      <w:r w:rsidRPr="00871473">
        <w:rPr>
          <w:rFonts w:ascii="Arial" w:eastAsia="Times New Roman" w:hAnsi="Arial" w:cs="Arial"/>
          <w:i/>
          <w:iCs/>
        </w:rPr>
        <w:t>[…] «</w:t>
      </w:r>
      <w:r w:rsidR="003C4EC3" w:rsidRPr="00871473">
        <w:rPr>
          <w:rFonts w:ascii="Arial" w:eastAsia="Times New Roman" w:hAnsi="Arial" w:cs="Arial"/>
          <w:i/>
          <w:iCs/>
        </w:rPr>
        <w:t xml:space="preserve"> </w:t>
      </w:r>
      <w:r w:rsidRPr="00871473">
        <w:rPr>
          <w:rFonts w:ascii="Arial" w:eastAsia="Times New Roman" w:hAnsi="Arial" w:cs="Arial"/>
          <w:i/>
          <w:iCs/>
        </w:rPr>
        <w:t>L’investissement est un élément particulièrement important de la réponse aux défis actuels, car c’est à la fois la demande actuelle et l’offre de demain</w:t>
      </w:r>
      <w:r w:rsidR="003C4EC3" w:rsidRPr="00871473">
        <w:rPr>
          <w:rFonts w:ascii="Arial" w:eastAsia="Times New Roman" w:hAnsi="Arial" w:cs="Arial"/>
          <w:i/>
          <w:iCs/>
        </w:rPr>
        <w:t xml:space="preserve"> </w:t>
      </w:r>
      <w:r w:rsidRPr="00871473">
        <w:rPr>
          <w:rFonts w:ascii="Arial" w:eastAsia="Times New Roman" w:hAnsi="Arial" w:cs="Arial"/>
          <w:i/>
          <w:iCs/>
        </w:rPr>
        <w:t>»</w:t>
      </w:r>
      <w:r w:rsidRPr="00871473">
        <w:rPr>
          <w:rFonts w:ascii="Arial" w:eastAsia="Times New Roman" w:hAnsi="Arial" w:cs="Arial"/>
        </w:rPr>
        <w:t>, a-t-elle plaidé, défendant un</w:t>
      </w:r>
      <w:r w:rsidRPr="00871473">
        <w:rPr>
          <w:rFonts w:ascii="Arial" w:eastAsia="Times New Roman" w:hAnsi="Arial" w:cs="Arial"/>
          <w:i/>
          <w:iCs/>
        </w:rPr>
        <w:t xml:space="preserve"> «</w:t>
      </w:r>
      <w:r w:rsidR="003C4EC3" w:rsidRPr="00871473">
        <w:rPr>
          <w:rFonts w:ascii="Arial" w:eastAsia="Times New Roman" w:hAnsi="Arial" w:cs="Arial"/>
          <w:i/>
          <w:iCs/>
        </w:rPr>
        <w:t xml:space="preserve"> </w:t>
      </w:r>
      <w:r w:rsidRPr="00871473">
        <w:rPr>
          <w:rFonts w:ascii="Arial" w:eastAsia="Times New Roman" w:hAnsi="Arial" w:cs="Arial"/>
          <w:i/>
          <w:iCs/>
        </w:rPr>
        <w:t>investissement dans un avenir commun plus productif, plus numérique et plus vert</w:t>
      </w:r>
      <w:r w:rsidR="003C4EC3" w:rsidRPr="00871473">
        <w:rPr>
          <w:rFonts w:ascii="Arial" w:eastAsia="Times New Roman" w:hAnsi="Arial" w:cs="Arial"/>
          <w:i/>
          <w:iCs/>
        </w:rPr>
        <w:t xml:space="preserve"> </w:t>
      </w:r>
      <w:r w:rsidRPr="00871473">
        <w:rPr>
          <w:rFonts w:ascii="Arial" w:eastAsia="Times New Roman" w:hAnsi="Arial" w:cs="Arial"/>
          <w:i/>
          <w:iCs/>
        </w:rPr>
        <w:t>»</w:t>
      </w:r>
      <w:r w:rsidRPr="00871473">
        <w:rPr>
          <w:rFonts w:ascii="Arial" w:eastAsia="Times New Roman" w:hAnsi="Arial" w:cs="Arial"/>
        </w:rPr>
        <w:t>.</w:t>
      </w:r>
    </w:p>
    <w:p w14:paraId="4B71219D" w14:textId="5F07DE8C" w:rsidR="002D3C35" w:rsidRPr="00871473" w:rsidRDefault="00D53991" w:rsidP="003C4EC3">
      <w:pPr>
        <w:jc w:val="both"/>
        <w:rPr>
          <w:rFonts w:ascii="Arial" w:eastAsia="Times New Roman" w:hAnsi="Arial" w:cs="Arial"/>
        </w:rPr>
      </w:pPr>
      <w:r w:rsidRPr="00871473">
        <w:rPr>
          <w:rFonts w:ascii="Arial" w:eastAsia="Times New Roman" w:hAnsi="Arial" w:cs="Arial"/>
        </w:rPr>
        <w:t xml:space="preserve">Pour l’heure, </w:t>
      </w:r>
      <w:hyperlink r:id="rId8" w:tgtFrame="_blank" w:history="1">
        <w:r w:rsidRPr="00871473">
          <w:rPr>
            <w:rFonts w:ascii="Arial" w:eastAsia="Times New Roman" w:hAnsi="Arial" w:cs="Arial"/>
          </w:rPr>
          <w:t>les investissements des gouvernements de l’Union</w:t>
        </w:r>
      </w:hyperlink>
      <w:r w:rsidRPr="00871473">
        <w:rPr>
          <w:rFonts w:ascii="Arial" w:eastAsia="Times New Roman" w:hAnsi="Arial" w:cs="Arial"/>
        </w:rPr>
        <w:t xml:space="preserve"> sont en effet</w:t>
      </w:r>
      <w:r w:rsidRPr="00871473">
        <w:rPr>
          <w:rFonts w:ascii="Arial" w:eastAsia="Times New Roman" w:hAnsi="Arial" w:cs="Arial"/>
          <w:i/>
          <w:iCs/>
        </w:rPr>
        <w:t xml:space="preserve"> «</w:t>
      </w:r>
      <w:r w:rsidR="003C4EC3" w:rsidRPr="00871473">
        <w:rPr>
          <w:rFonts w:ascii="Arial" w:eastAsia="Times New Roman" w:hAnsi="Arial" w:cs="Arial"/>
          <w:i/>
          <w:iCs/>
        </w:rPr>
        <w:t xml:space="preserve"> </w:t>
      </w:r>
      <w:r w:rsidRPr="00871473">
        <w:rPr>
          <w:rFonts w:ascii="Arial" w:eastAsia="Times New Roman" w:hAnsi="Arial" w:cs="Arial"/>
          <w:i/>
          <w:iCs/>
        </w:rPr>
        <w:t>en deçà de leur niveau d’avant la crise</w:t>
      </w:r>
      <w:r w:rsidR="00871473" w:rsidRPr="00871473">
        <w:rPr>
          <w:rFonts w:ascii="Arial" w:eastAsia="Times New Roman" w:hAnsi="Arial" w:cs="Arial"/>
          <w:i/>
          <w:iCs/>
        </w:rPr>
        <w:t xml:space="preserve"> </w:t>
      </w:r>
      <w:r w:rsidRPr="00871473">
        <w:rPr>
          <w:rFonts w:ascii="Arial" w:eastAsia="Times New Roman" w:hAnsi="Arial" w:cs="Arial"/>
          <w:i/>
          <w:iCs/>
        </w:rPr>
        <w:t>»</w:t>
      </w:r>
      <w:r w:rsidRPr="00871473">
        <w:rPr>
          <w:rFonts w:ascii="Arial" w:eastAsia="Times New Roman" w:hAnsi="Arial" w:cs="Arial"/>
        </w:rPr>
        <w:t>, alors même que de nouveaux besoins apparaissent. Dans ces conditions, Christine Lagarde a invité entreprises comme États à dépenser davantage pour contrecarrer la croissance molle, renforcer le marché intérieur et soutenir la demande. Cette politique budgétaire doit aussi permettre à l’Europe de rattraper son retard face aux États-Unis.</w:t>
      </w:r>
    </w:p>
    <w:p w14:paraId="3B8506B0" w14:textId="0C3BBCAA" w:rsidR="005F26ED" w:rsidRPr="00871473" w:rsidRDefault="00880B8D" w:rsidP="00871473">
      <w:pPr>
        <w:spacing w:before="120"/>
        <w:rPr>
          <w:rFonts w:ascii="Arial" w:eastAsia="Times New Roman" w:hAnsi="Arial" w:cs="Arial"/>
        </w:rPr>
      </w:pPr>
      <w:r w:rsidRPr="00871473">
        <w:rPr>
          <w:rFonts w:ascii="Arial" w:eastAsia="Arial" w:hAnsi="Arial" w:cs="Arial"/>
        </w:rPr>
        <w:t xml:space="preserve">Source </w:t>
      </w:r>
      <w:r w:rsidRPr="00871473">
        <w:rPr>
          <w:rFonts w:ascii="Arial" w:eastAsia="Arial" w:hAnsi="Arial" w:cs="Arial"/>
          <w:u w:val="single"/>
        </w:rPr>
        <w:t xml:space="preserve">: </w:t>
      </w:r>
      <w:bookmarkStart w:id="2" w:name="page3"/>
      <w:bookmarkEnd w:id="2"/>
      <w:r w:rsidR="005F26ED" w:rsidRPr="00871473">
        <w:rPr>
          <w:rFonts w:ascii="Arial" w:hAnsi="Arial" w:cs="Arial"/>
          <w:u w:val="single"/>
        </w:rPr>
        <w:fldChar w:fldCharType="begin"/>
      </w:r>
      <w:r w:rsidR="005F26ED" w:rsidRPr="00871473">
        <w:rPr>
          <w:rFonts w:ascii="Arial" w:hAnsi="Arial" w:cs="Arial"/>
          <w:u w:val="single"/>
        </w:rPr>
        <w:instrText xml:space="preserve"> HYPERLINK "http://plus.lefigaro.fr/page/uid/2681315" </w:instrText>
      </w:r>
      <w:r w:rsidR="005F26ED" w:rsidRPr="00871473">
        <w:rPr>
          <w:rFonts w:ascii="Arial" w:hAnsi="Arial" w:cs="Arial"/>
          <w:u w:val="single"/>
        </w:rPr>
        <w:fldChar w:fldCharType="separate"/>
      </w:r>
      <w:r w:rsidR="005F26ED" w:rsidRPr="00871473">
        <w:rPr>
          <w:rStyle w:val="Lienhypertexte"/>
          <w:rFonts w:ascii="Arial" w:hAnsi="Arial" w:cs="Arial"/>
          <w:color w:val="auto"/>
        </w:rPr>
        <w:t>Wladimir Garcin-Berson</w:t>
      </w:r>
      <w:r w:rsidR="005F26ED" w:rsidRPr="00871473">
        <w:rPr>
          <w:rFonts w:ascii="Arial" w:hAnsi="Arial" w:cs="Arial"/>
          <w:u w:val="single"/>
        </w:rPr>
        <w:fldChar w:fldCharType="end"/>
      </w:r>
      <w:r w:rsidR="005F26ED" w:rsidRPr="00871473">
        <w:rPr>
          <w:rFonts w:ascii="Arial" w:hAnsi="Arial" w:cs="Arial"/>
          <w:u w:val="single"/>
        </w:rPr>
        <w:t>,</w:t>
      </w:r>
      <w:r w:rsidR="005F26ED" w:rsidRPr="00871473">
        <w:rPr>
          <w:rFonts w:ascii="Arial" w:hAnsi="Arial" w:cs="Arial"/>
        </w:rPr>
        <w:t xml:space="preserve"> LeFigaro.fr, </w:t>
      </w:r>
      <w:r w:rsidR="005F26ED" w:rsidRPr="00871473">
        <w:rPr>
          <w:rFonts w:ascii="Arial" w:eastAsia="Times New Roman" w:hAnsi="Arial" w:cs="Arial"/>
        </w:rPr>
        <w:t xml:space="preserve">Publié le 22 novembre 2019 à 11:46, mis à jour le 22 novembre 2019 à 17:30 </w:t>
      </w:r>
      <w:hyperlink r:id="rId9" w:history="1">
        <w:r w:rsidR="005F26ED" w:rsidRPr="00871473">
          <w:rPr>
            <w:rStyle w:val="Lienhypertexte"/>
            <w:rFonts w:ascii="Arial" w:eastAsia="Arial" w:hAnsi="Arial" w:cs="Arial"/>
          </w:rPr>
          <w:t>https://www.lefigaro.fr/conjoncture/l-europe-doit-investir-christine-lagarde-maintient-la-pression-contre-les-etats-qui-ne-soutiennent-pas-assez-la-croissance-20191122</w:t>
        </w:r>
      </w:hyperlink>
      <w:bookmarkStart w:id="3" w:name="_GoBack"/>
      <w:bookmarkEnd w:id="3"/>
    </w:p>
    <w:sectPr w:rsidR="005F26ED" w:rsidRPr="00871473" w:rsidSect="003C4EC3">
      <w:type w:val="continuous"/>
      <w:pgSz w:w="11900" w:h="16840"/>
      <w:pgMar w:top="1134" w:right="1134" w:bottom="1134" w:left="1134" w:header="0" w:footer="0" w:gutter="0"/>
      <w:cols w:space="720" w:equalWidth="0">
        <w:col w:w="9326"/>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004036"/>
    <w:multiLevelType w:val="hybridMultilevel"/>
    <w:tmpl w:val="53EE4B1C"/>
    <w:lvl w:ilvl="0" w:tplc="EC96F0C6">
      <w:numFmt w:val="bullet"/>
      <w:lvlText w:val="-"/>
      <w:lvlJc w:val="left"/>
      <w:pPr>
        <w:ind w:left="335" w:hanging="171"/>
      </w:pPr>
      <w:rPr>
        <w:rFonts w:ascii="Times New Roman" w:eastAsia="Times New Roman" w:hAnsi="Times New Roman" w:cs="Times New Roman" w:hint="default"/>
        <w:b/>
        <w:bCs/>
        <w:color w:val="17818E"/>
        <w:spacing w:val="-30"/>
        <w:w w:val="99"/>
        <w:sz w:val="24"/>
        <w:szCs w:val="24"/>
        <w:lang w:val="fr-FR" w:eastAsia="fr-FR" w:bidi="fr-FR"/>
      </w:rPr>
    </w:lvl>
    <w:lvl w:ilvl="1" w:tplc="7A487AC2">
      <w:numFmt w:val="bullet"/>
      <w:lvlText w:val="•"/>
      <w:lvlJc w:val="left"/>
      <w:pPr>
        <w:ind w:left="960" w:hanging="171"/>
      </w:pPr>
      <w:rPr>
        <w:rFonts w:hint="default"/>
        <w:lang w:val="fr-FR" w:eastAsia="fr-FR" w:bidi="fr-FR"/>
      </w:rPr>
    </w:lvl>
    <w:lvl w:ilvl="2" w:tplc="C28283EC">
      <w:numFmt w:val="bullet"/>
      <w:lvlText w:val="•"/>
      <w:lvlJc w:val="left"/>
      <w:pPr>
        <w:ind w:left="1580" w:hanging="171"/>
      </w:pPr>
      <w:rPr>
        <w:rFonts w:hint="default"/>
        <w:lang w:val="fr-FR" w:eastAsia="fr-FR" w:bidi="fr-FR"/>
      </w:rPr>
    </w:lvl>
    <w:lvl w:ilvl="3" w:tplc="5F383BF2">
      <w:numFmt w:val="bullet"/>
      <w:lvlText w:val="•"/>
      <w:lvlJc w:val="left"/>
      <w:pPr>
        <w:ind w:left="2200" w:hanging="171"/>
      </w:pPr>
      <w:rPr>
        <w:rFonts w:hint="default"/>
        <w:lang w:val="fr-FR" w:eastAsia="fr-FR" w:bidi="fr-FR"/>
      </w:rPr>
    </w:lvl>
    <w:lvl w:ilvl="4" w:tplc="0F9C5356">
      <w:numFmt w:val="bullet"/>
      <w:lvlText w:val="•"/>
      <w:lvlJc w:val="left"/>
      <w:pPr>
        <w:ind w:left="2820" w:hanging="171"/>
      </w:pPr>
      <w:rPr>
        <w:rFonts w:hint="default"/>
        <w:lang w:val="fr-FR" w:eastAsia="fr-FR" w:bidi="fr-FR"/>
      </w:rPr>
    </w:lvl>
    <w:lvl w:ilvl="5" w:tplc="73724B64">
      <w:numFmt w:val="bullet"/>
      <w:lvlText w:val="•"/>
      <w:lvlJc w:val="left"/>
      <w:pPr>
        <w:ind w:left="3440" w:hanging="171"/>
      </w:pPr>
      <w:rPr>
        <w:rFonts w:hint="default"/>
        <w:lang w:val="fr-FR" w:eastAsia="fr-FR" w:bidi="fr-FR"/>
      </w:rPr>
    </w:lvl>
    <w:lvl w:ilvl="6" w:tplc="95B6142E">
      <w:numFmt w:val="bullet"/>
      <w:lvlText w:val="•"/>
      <w:lvlJc w:val="left"/>
      <w:pPr>
        <w:ind w:left="4060" w:hanging="171"/>
      </w:pPr>
      <w:rPr>
        <w:rFonts w:hint="default"/>
        <w:lang w:val="fr-FR" w:eastAsia="fr-FR" w:bidi="fr-FR"/>
      </w:rPr>
    </w:lvl>
    <w:lvl w:ilvl="7" w:tplc="AE8EF3FE">
      <w:numFmt w:val="bullet"/>
      <w:lvlText w:val="•"/>
      <w:lvlJc w:val="left"/>
      <w:pPr>
        <w:ind w:left="4680" w:hanging="171"/>
      </w:pPr>
      <w:rPr>
        <w:rFonts w:hint="default"/>
        <w:lang w:val="fr-FR" w:eastAsia="fr-FR" w:bidi="fr-FR"/>
      </w:rPr>
    </w:lvl>
    <w:lvl w:ilvl="8" w:tplc="F1A4B1F4">
      <w:numFmt w:val="bullet"/>
      <w:lvlText w:val="•"/>
      <w:lvlJc w:val="left"/>
      <w:pPr>
        <w:ind w:left="5300" w:hanging="171"/>
      </w:pPr>
      <w:rPr>
        <w:rFonts w:hint="default"/>
        <w:lang w:val="fr-FR" w:eastAsia="fr-FR" w:bidi="fr-FR"/>
      </w:rPr>
    </w:lvl>
  </w:abstractNum>
  <w:abstractNum w:abstractNumId="1" w15:restartNumberingAfterBreak="0">
    <w:nsid w:val="643C9869"/>
    <w:multiLevelType w:val="hybridMultilevel"/>
    <w:tmpl w:val="BB228EAE"/>
    <w:lvl w:ilvl="0" w:tplc="2E9A1F30">
      <w:start w:val="1"/>
      <w:numFmt w:val="bullet"/>
      <w:lvlText w:val="-"/>
      <w:lvlJc w:val="left"/>
    </w:lvl>
    <w:lvl w:ilvl="1" w:tplc="B6E03392">
      <w:numFmt w:val="decimal"/>
      <w:lvlText w:val=""/>
      <w:lvlJc w:val="left"/>
    </w:lvl>
    <w:lvl w:ilvl="2" w:tplc="CECE6ECC">
      <w:numFmt w:val="decimal"/>
      <w:lvlText w:val=""/>
      <w:lvlJc w:val="left"/>
    </w:lvl>
    <w:lvl w:ilvl="3" w:tplc="21B0E1C0">
      <w:numFmt w:val="decimal"/>
      <w:lvlText w:val=""/>
      <w:lvlJc w:val="left"/>
    </w:lvl>
    <w:lvl w:ilvl="4" w:tplc="21DC58E2">
      <w:numFmt w:val="decimal"/>
      <w:lvlText w:val=""/>
      <w:lvlJc w:val="left"/>
    </w:lvl>
    <w:lvl w:ilvl="5" w:tplc="4DA65FCE">
      <w:numFmt w:val="decimal"/>
      <w:lvlText w:val=""/>
      <w:lvlJc w:val="left"/>
    </w:lvl>
    <w:lvl w:ilvl="6" w:tplc="F9166710">
      <w:numFmt w:val="decimal"/>
      <w:lvlText w:val=""/>
      <w:lvlJc w:val="left"/>
    </w:lvl>
    <w:lvl w:ilvl="7" w:tplc="644C17B8">
      <w:numFmt w:val="decimal"/>
      <w:lvlText w:val=""/>
      <w:lvlJc w:val="left"/>
    </w:lvl>
    <w:lvl w:ilvl="8" w:tplc="3E7A2808">
      <w:numFmt w:val="decimal"/>
      <w:lvlText w:val=""/>
      <w:lvlJc w:val="left"/>
    </w:lvl>
  </w:abstractNum>
  <w:abstractNum w:abstractNumId="2" w15:restartNumberingAfterBreak="0">
    <w:nsid w:val="66334873"/>
    <w:multiLevelType w:val="hybridMultilevel"/>
    <w:tmpl w:val="1DA2246E"/>
    <w:lvl w:ilvl="0" w:tplc="16004D90">
      <w:start w:val="1"/>
      <w:numFmt w:val="decimal"/>
      <w:lvlText w:val="%1."/>
      <w:lvlJc w:val="left"/>
    </w:lvl>
    <w:lvl w:ilvl="1" w:tplc="E28EF900">
      <w:numFmt w:val="decimal"/>
      <w:lvlText w:val=""/>
      <w:lvlJc w:val="left"/>
    </w:lvl>
    <w:lvl w:ilvl="2" w:tplc="FFF88FB4">
      <w:numFmt w:val="decimal"/>
      <w:lvlText w:val=""/>
      <w:lvlJc w:val="left"/>
    </w:lvl>
    <w:lvl w:ilvl="3" w:tplc="6C884094">
      <w:numFmt w:val="decimal"/>
      <w:lvlText w:val=""/>
      <w:lvlJc w:val="left"/>
    </w:lvl>
    <w:lvl w:ilvl="4" w:tplc="E9085F6C">
      <w:numFmt w:val="decimal"/>
      <w:lvlText w:val=""/>
      <w:lvlJc w:val="left"/>
    </w:lvl>
    <w:lvl w:ilvl="5" w:tplc="4BAA478E">
      <w:numFmt w:val="decimal"/>
      <w:lvlText w:val=""/>
      <w:lvlJc w:val="left"/>
    </w:lvl>
    <w:lvl w:ilvl="6" w:tplc="8710FC0C">
      <w:numFmt w:val="decimal"/>
      <w:lvlText w:val=""/>
      <w:lvlJc w:val="left"/>
    </w:lvl>
    <w:lvl w:ilvl="7" w:tplc="094ABC76">
      <w:numFmt w:val="decimal"/>
      <w:lvlText w:val=""/>
      <w:lvlJc w:val="left"/>
    </w:lvl>
    <w:lvl w:ilvl="8" w:tplc="A894C6D0">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C35"/>
    <w:rsid w:val="001540AA"/>
    <w:rsid w:val="001A101F"/>
    <w:rsid w:val="002D3C35"/>
    <w:rsid w:val="003A7D34"/>
    <w:rsid w:val="003C4EC3"/>
    <w:rsid w:val="00400789"/>
    <w:rsid w:val="00416731"/>
    <w:rsid w:val="005A6672"/>
    <w:rsid w:val="005F26ED"/>
    <w:rsid w:val="006A6001"/>
    <w:rsid w:val="006F3D01"/>
    <w:rsid w:val="0082594C"/>
    <w:rsid w:val="00871473"/>
    <w:rsid w:val="00880B8D"/>
    <w:rsid w:val="009A021A"/>
    <w:rsid w:val="00D53991"/>
    <w:rsid w:val="00EC6D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E8BA"/>
  <w15:docId w15:val="{E0ABB5D7-8427-4CDD-B0A1-8BAFCA36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D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Paragraph">
    <w:name w:val="Table Paragraph"/>
    <w:basedOn w:val="Normal"/>
    <w:uiPriority w:val="1"/>
    <w:qFormat/>
    <w:rsid w:val="001A101F"/>
    <w:pPr>
      <w:widowControl w:val="0"/>
      <w:autoSpaceDE w:val="0"/>
      <w:autoSpaceDN w:val="0"/>
      <w:ind w:left="256" w:hanging="170"/>
    </w:pPr>
    <w:rPr>
      <w:rFonts w:ascii="Arial" w:eastAsia="Arial" w:hAnsi="Arial" w:cs="Arial"/>
      <w:lang w:bidi="fr-FR"/>
    </w:rPr>
  </w:style>
  <w:style w:type="table" w:styleId="Grilledutableau">
    <w:name w:val="Table Grid"/>
    <w:basedOn w:val="TableauNormal"/>
    <w:uiPriority w:val="59"/>
    <w:rsid w:val="009A0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A021A"/>
    <w:rPr>
      <w:color w:val="0563C1" w:themeColor="hyperlink"/>
      <w:u w:val="single"/>
    </w:rPr>
  </w:style>
  <w:style w:type="character" w:customStyle="1" w:styleId="Mentionnonrsolue1">
    <w:name w:val="Mention non résolue1"/>
    <w:basedOn w:val="Policepardfaut"/>
    <w:uiPriority w:val="99"/>
    <w:semiHidden/>
    <w:unhideWhenUsed/>
    <w:rsid w:val="009A021A"/>
    <w:rPr>
      <w:color w:val="605E5C"/>
      <w:shd w:val="clear" w:color="auto" w:fill="E1DFDD"/>
    </w:rPr>
  </w:style>
  <w:style w:type="paragraph" w:styleId="Textedebulles">
    <w:name w:val="Balloon Text"/>
    <w:basedOn w:val="Normal"/>
    <w:link w:val="TextedebullesCar"/>
    <w:uiPriority w:val="99"/>
    <w:semiHidden/>
    <w:unhideWhenUsed/>
    <w:rsid w:val="00400789"/>
    <w:rPr>
      <w:rFonts w:ascii="Tahoma" w:hAnsi="Tahoma" w:cs="Tahoma"/>
      <w:sz w:val="16"/>
      <w:szCs w:val="16"/>
    </w:rPr>
  </w:style>
  <w:style w:type="character" w:customStyle="1" w:styleId="TextedebullesCar">
    <w:name w:val="Texte de bulles Car"/>
    <w:basedOn w:val="Policepardfaut"/>
    <w:link w:val="Textedebulles"/>
    <w:uiPriority w:val="99"/>
    <w:semiHidden/>
    <w:rsid w:val="004007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066161">
      <w:bodyDiv w:val="1"/>
      <w:marLeft w:val="0"/>
      <w:marRight w:val="0"/>
      <w:marTop w:val="0"/>
      <w:marBottom w:val="0"/>
      <w:divBdr>
        <w:top w:val="none" w:sz="0" w:space="0" w:color="auto"/>
        <w:left w:val="none" w:sz="0" w:space="0" w:color="auto"/>
        <w:bottom w:val="none" w:sz="0" w:space="0" w:color="auto"/>
        <w:right w:val="none" w:sz="0" w:space="0" w:color="auto"/>
      </w:divBdr>
      <w:divsChild>
        <w:div w:id="1446852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figaro.fr/conjoncture/investissement-bruxelles-veut-mobiliser-1000-milliards-en-dix-ans-20191011" TargetMode="External"/><Relationship Id="rId3" Type="http://schemas.openxmlformats.org/officeDocument/2006/relationships/settings" Target="settings.xml"/><Relationship Id="rId7" Type="http://schemas.openxmlformats.org/officeDocument/2006/relationships/hyperlink" Target="https://www.ecb.europa.eu/press/key/date/2019/html/ecb.sp191122~0c1f115db0.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figaro.fr/conjoncture/l-europe-doit-investir-christine-lagarde-maintient-la-pression-contre-les-etats-qui-ne-soutiennent-pas-assez-la-croissance-2019112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651</Words>
  <Characters>3586</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François Debesson</cp:lastModifiedBy>
  <cp:revision>3</cp:revision>
  <cp:lastPrinted>2019-12-03T08:40:00Z</cp:lastPrinted>
  <dcterms:created xsi:type="dcterms:W3CDTF">2019-12-07T17:49:00Z</dcterms:created>
  <dcterms:modified xsi:type="dcterms:W3CDTF">2019-12-07T17:57:00Z</dcterms:modified>
</cp:coreProperties>
</file>