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D7" w:rsidRDefault="00D62EF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16510</wp:posOffset>
                </wp:positionV>
                <wp:extent cx="7277100" cy="885825"/>
                <wp:effectExtent l="19050" t="1905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EFA" w:rsidRPr="00D62EFA" w:rsidRDefault="00C25E93" w:rsidP="00D62EFA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Construire les premiers outils pour structurer sa pensée</w:t>
                            </w:r>
                            <w:r w:rsidR="00D62EFA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E05D0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Maternelle</w:t>
                            </w: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- </w:t>
                            </w:r>
                            <w:r w:rsidR="00D62EFA" w:rsidRPr="00D62EFA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Programmes 201</w:t>
                            </w:r>
                            <w:r w:rsidR="000E05D0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96.3pt;margin-top:1.3pt;width:573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" fillcolor="white [3201]" strokeweight="3pt">
                <v:textbox>
                  <w:txbxContent>
                    <w:p w:rsidR="00D62EFA" w:rsidRPr="00D62EFA" w:rsidRDefault="00C25E93" w:rsidP="00D62EFA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  <w:szCs w:val="48"/>
                        </w:rPr>
                        <w:t>Construire les premiers outils pour structurer sa pensée</w:t>
                      </w:r>
                      <w:r w:rsidR="00D62EFA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="000E05D0">
                        <w:rPr>
                          <w:b/>
                          <w:color w:val="FF0000"/>
                          <w:sz w:val="48"/>
                          <w:szCs w:val="48"/>
                        </w:rPr>
                        <w:t>Maternelle</w:t>
                      </w:r>
                      <w:r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- </w:t>
                      </w:r>
                      <w:r w:rsidR="00D62EFA" w:rsidRPr="00D62EFA">
                        <w:rPr>
                          <w:b/>
                          <w:color w:val="FF0000"/>
                          <w:sz w:val="48"/>
                          <w:szCs w:val="48"/>
                        </w:rPr>
                        <w:t>Programmes 201</w:t>
                      </w:r>
                      <w:r w:rsidR="000E05D0">
                        <w:rPr>
                          <w:b/>
                          <w:color w:val="FF0000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t>INSPECTION DE L’EDUCATION NATIONALE</w:t>
      </w:r>
      <w:r>
        <w:br/>
        <w:t>Circonscription de St Cyr sur Loire</w:t>
      </w:r>
      <w:r w:rsidR="00526121">
        <w:br/>
      </w:r>
    </w:p>
    <w:p w:rsidR="002535F7" w:rsidRDefault="002535F7"/>
    <w:p w:rsidR="000340B2" w:rsidRDefault="000340B2"/>
    <w:p w:rsidR="000340B2" w:rsidRDefault="000340B2"/>
    <w:tbl>
      <w:tblPr>
        <w:tblStyle w:val="Grilledutableau"/>
        <w:tblW w:w="15593" w:type="dxa"/>
        <w:tblInd w:w="-289" w:type="dxa"/>
        <w:tblLook w:val="04A0" w:firstRow="1" w:lastRow="0" w:firstColumn="1" w:lastColumn="0" w:noHBand="0" w:noVBand="1"/>
      </w:tblPr>
      <w:tblGrid>
        <w:gridCol w:w="7639"/>
        <w:gridCol w:w="7954"/>
      </w:tblGrid>
      <w:tr w:rsidR="00ED00F2" w:rsidRPr="00A15FBA" w:rsidTr="00BA2A14">
        <w:tc>
          <w:tcPr>
            <w:tcW w:w="15593" w:type="dxa"/>
            <w:gridSpan w:val="2"/>
          </w:tcPr>
          <w:p w:rsidR="00ED00F2" w:rsidRPr="00A15FBA" w:rsidRDefault="00ED00F2" w:rsidP="00BA2A14">
            <w:pPr>
              <w:jc w:val="center"/>
              <w:rPr>
                <w:b/>
                <w:sz w:val="28"/>
                <w:szCs w:val="28"/>
              </w:rPr>
            </w:pPr>
            <w:r w:rsidRPr="00A15FBA">
              <w:rPr>
                <w:b/>
                <w:sz w:val="28"/>
                <w:szCs w:val="28"/>
              </w:rPr>
              <w:t>Généralités</w:t>
            </w:r>
          </w:p>
        </w:tc>
      </w:tr>
      <w:tr w:rsidR="00ED00F2" w:rsidRPr="00A15FBA" w:rsidTr="000340B2">
        <w:tc>
          <w:tcPr>
            <w:tcW w:w="7639" w:type="dxa"/>
            <w:tcBorders>
              <w:bottom w:val="single" w:sz="4" w:space="0" w:color="auto"/>
            </w:tcBorders>
          </w:tcPr>
          <w:p w:rsidR="00ED00F2" w:rsidRPr="00A15FBA" w:rsidRDefault="00ED00F2" w:rsidP="00BA2A14">
            <w:pPr>
              <w:jc w:val="center"/>
              <w:rPr>
                <w:b/>
                <w:sz w:val="28"/>
                <w:szCs w:val="28"/>
              </w:rPr>
            </w:pPr>
            <w:r w:rsidRPr="00A15FBA">
              <w:rPr>
                <w:b/>
                <w:sz w:val="28"/>
                <w:szCs w:val="28"/>
              </w:rPr>
              <w:t>Les points saillants</w:t>
            </w:r>
          </w:p>
        </w:tc>
        <w:tc>
          <w:tcPr>
            <w:tcW w:w="7954" w:type="dxa"/>
            <w:tcBorders>
              <w:bottom w:val="single" w:sz="4" w:space="0" w:color="auto"/>
            </w:tcBorders>
          </w:tcPr>
          <w:p w:rsidR="00ED00F2" w:rsidRPr="00A15FBA" w:rsidRDefault="00ED00F2" w:rsidP="00BA2A14">
            <w:pPr>
              <w:jc w:val="center"/>
              <w:rPr>
                <w:b/>
                <w:sz w:val="28"/>
                <w:szCs w:val="28"/>
              </w:rPr>
            </w:pPr>
            <w:r w:rsidRPr="00A15FBA">
              <w:rPr>
                <w:b/>
                <w:sz w:val="28"/>
                <w:szCs w:val="28"/>
              </w:rPr>
              <w:t>Les points de vigilance</w:t>
            </w:r>
          </w:p>
        </w:tc>
      </w:tr>
      <w:tr w:rsidR="00ED00F2" w:rsidTr="000340B2">
        <w:tc>
          <w:tcPr>
            <w:tcW w:w="15593" w:type="dxa"/>
            <w:gridSpan w:val="2"/>
            <w:shd w:val="clear" w:color="auto" w:fill="D9D9D9" w:themeFill="background1" w:themeFillShade="D9"/>
          </w:tcPr>
          <w:p w:rsidR="00ED00F2" w:rsidRDefault="00ED00F2" w:rsidP="00ED00F2">
            <w:pPr>
              <w:ind w:left="360"/>
            </w:pPr>
            <w:r>
              <w:t>Les situations proposées doivent s’inscrire, le plus souvent possible,  dans un vécu commun. Elles sont préféra</w:t>
            </w:r>
            <w:r w:rsidR="000340B2">
              <w:t>bles à des exercices formels sous forme de fiches.</w:t>
            </w:r>
          </w:p>
        </w:tc>
      </w:tr>
      <w:tr w:rsidR="00ED00F2" w:rsidTr="00BA2A14">
        <w:tc>
          <w:tcPr>
            <w:tcW w:w="7639" w:type="dxa"/>
          </w:tcPr>
          <w:p w:rsidR="00ED00F2" w:rsidRPr="000340B2" w:rsidRDefault="00ED00F2" w:rsidP="00BA2A14">
            <w:pPr>
              <w:pStyle w:val="Paragraphedeliste"/>
              <w:numPr>
                <w:ilvl w:val="0"/>
                <w:numId w:val="1"/>
              </w:numPr>
              <w:ind w:left="313" w:hanging="284"/>
              <w:rPr>
                <w:u w:val="single"/>
              </w:rPr>
            </w:pPr>
            <w:r w:rsidRPr="000340B2">
              <w:rPr>
                <w:color w:val="FF0000"/>
                <w:u w:val="single"/>
              </w:rPr>
              <w:t>Des situations d’apprentissage variées</w:t>
            </w:r>
          </w:p>
        </w:tc>
        <w:tc>
          <w:tcPr>
            <w:tcW w:w="7954" w:type="dxa"/>
          </w:tcPr>
          <w:p w:rsidR="00ED00F2" w:rsidRDefault="00ED00F2" w:rsidP="00BA2A14">
            <w:pPr>
              <w:pStyle w:val="Paragraphedeliste"/>
              <w:numPr>
                <w:ilvl w:val="0"/>
                <w:numId w:val="2"/>
              </w:numPr>
              <w:ind w:left="191" w:hanging="191"/>
            </w:pPr>
            <w:r>
              <w:t>Importance accordée au jeu, à la résolution de problèmes et aux entraînements (dont les rituels peuvent faire partie)</w:t>
            </w:r>
          </w:p>
        </w:tc>
      </w:tr>
      <w:tr w:rsidR="00ED00F2" w:rsidTr="00BA2A14">
        <w:tc>
          <w:tcPr>
            <w:tcW w:w="7639" w:type="dxa"/>
          </w:tcPr>
          <w:p w:rsidR="00ED00F2" w:rsidRPr="000340B2" w:rsidRDefault="00ED00F2" w:rsidP="00BA2A14">
            <w:pPr>
              <w:pStyle w:val="Paragraphedeliste"/>
              <w:numPr>
                <w:ilvl w:val="0"/>
                <w:numId w:val="1"/>
              </w:numPr>
              <w:ind w:left="313" w:hanging="284"/>
              <w:rPr>
                <w:u w:val="single"/>
              </w:rPr>
            </w:pPr>
            <w:r w:rsidRPr="000340B2">
              <w:rPr>
                <w:color w:val="FF0000"/>
                <w:u w:val="single"/>
              </w:rPr>
              <w:t>Les démarches</w:t>
            </w:r>
          </w:p>
        </w:tc>
        <w:tc>
          <w:tcPr>
            <w:tcW w:w="7954" w:type="dxa"/>
          </w:tcPr>
          <w:p w:rsidR="00ED00F2" w:rsidRDefault="00ED00F2" w:rsidP="00ED00F2">
            <w:pPr>
              <w:pStyle w:val="Paragraphedeliste"/>
              <w:numPr>
                <w:ilvl w:val="0"/>
                <w:numId w:val="1"/>
              </w:numPr>
              <w:ind w:left="192" w:hanging="192"/>
            </w:pPr>
            <w:r>
              <w:t>Une place importante doit être donnée</w:t>
            </w:r>
          </w:p>
          <w:p w:rsidR="00ED00F2" w:rsidRDefault="00ED00F2" w:rsidP="00D405EA">
            <w:r>
              <w:t xml:space="preserve">    - à l’observation</w:t>
            </w:r>
          </w:p>
          <w:p w:rsidR="00ED00F2" w:rsidRDefault="00ED00F2" w:rsidP="00D405EA">
            <w:r>
              <w:t xml:space="preserve">    - à l’imitation des autres enfants et/ou de l’adulte</w:t>
            </w:r>
          </w:p>
          <w:p w:rsidR="00ED00F2" w:rsidRDefault="00ED00F2" w:rsidP="00D405EA">
            <w:r>
              <w:t xml:space="preserve"> </w:t>
            </w:r>
            <w:bookmarkStart w:id="0" w:name="_GoBack"/>
            <w:bookmarkEnd w:id="0"/>
            <w:r>
              <w:t xml:space="preserve">   - aux interactions</w:t>
            </w:r>
          </w:p>
          <w:p w:rsidR="00ED00F2" w:rsidRDefault="00ED00F2" w:rsidP="00ED00F2">
            <w:pPr>
              <w:pStyle w:val="Paragraphedeliste"/>
              <w:numPr>
                <w:ilvl w:val="0"/>
                <w:numId w:val="1"/>
              </w:numPr>
              <w:ind w:left="192" w:hanging="192"/>
            </w:pPr>
            <w:r>
              <w:t xml:space="preserve">    A à la prise en compte du point de vue de l’autre</w:t>
            </w:r>
          </w:p>
        </w:tc>
      </w:tr>
    </w:tbl>
    <w:p w:rsidR="002535F7" w:rsidRDefault="002535F7"/>
    <w:p w:rsidR="002535F7" w:rsidRDefault="002535F7"/>
    <w:p w:rsidR="002535F7" w:rsidRDefault="002535F7"/>
    <w:p w:rsidR="002535F7" w:rsidRDefault="002535F7"/>
    <w:p w:rsidR="002535F7" w:rsidRDefault="002535F7"/>
    <w:p w:rsidR="002535F7" w:rsidRDefault="002535F7"/>
    <w:p w:rsidR="002535F7" w:rsidRDefault="002535F7"/>
    <w:p w:rsidR="002535F7" w:rsidRDefault="002535F7"/>
    <w:p w:rsidR="002535F7" w:rsidRDefault="002535F7"/>
    <w:p w:rsidR="002535F7" w:rsidRDefault="002535F7"/>
    <w:p w:rsidR="002535F7" w:rsidRDefault="002535F7"/>
    <w:p w:rsidR="002535F7" w:rsidRDefault="002535F7"/>
    <w:tbl>
      <w:tblPr>
        <w:tblStyle w:val="Grilledutableau"/>
        <w:tblW w:w="15305" w:type="dxa"/>
        <w:tblInd w:w="-1" w:type="dxa"/>
        <w:tblLook w:val="04A0" w:firstRow="1" w:lastRow="0" w:firstColumn="1" w:lastColumn="0" w:noHBand="0" w:noVBand="1"/>
      </w:tblPr>
      <w:tblGrid>
        <w:gridCol w:w="1697"/>
        <w:gridCol w:w="3969"/>
        <w:gridCol w:w="7797"/>
        <w:gridCol w:w="1842"/>
      </w:tblGrid>
      <w:tr w:rsidR="00D62EFA" w:rsidRPr="00D62EFA" w:rsidTr="00A73B60">
        <w:tc>
          <w:tcPr>
            <w:tcW w:w="1697" w:type="dxa"/>
          </w:tcPr>
          <w:p w:rsidR="00D62EFA" w:rsidRPr="00D62EFA" w:rsidRDefault="00D62EFA" w:rsidP="00D62EFA">
            <w:pPr>
              <w:jc w:val="center"/>
              <w:rPr>
                <w:b/>
                <w:sz w:val="28"/>
                <w:szCs w:val="28"/>
              </w:rPr>
            </w:pPr>
            <w:r w:rsidRPr="00D62EFA">
              <w:rPr>
                <w:b/>
                <w:sz w:val="28"/>
                <w:szCs w:val="28"/>
              </w:rPr>
              <w:lastRenderedPageBreak/>
              <w:t>Domaine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62EFA" w:rsidRPr="00D62EFA" w:rsidRDefault="00D62EFA" w:rsidP="00D62EFA">
            <w:pPr>
              <w:jc w:val="center"/>
              <w:rPr>
                <w:b/>
                <w:sz w:val="28"/>
                <w:szCs w:val="28"/>
              </w:rPr>
            </w:pPr>
            <w:r w:rsidRPr="00D62EFA">
              <w:rPr>
                <w:b/>
                <w:sz w:val="28"/>
                <w:szCs w:val="28"/>
              </w:rPr>
              <w:t>Les points saillants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D62EFA" w:rsidRPr="00D62EFA" w:rsidRDefault="00D62EFA" w:rsidP="00D62EFA">
            <w:pPr>
              <w:jc w:val="center"/>
              <w:rPr>
                <w:b/>
                <w:sz w:val="28"/>
                <w:szCs w:val="28"/>
              </w:rPr>
            </w:pPr>
            <w:r w:rsidRPr="00D62EFA">
              <w:rPr>
                <w:b/>
                <w:sz w:val="28"/>
                <w:szCs w:val="28"/>
              </w:rPr>
              <w:t>Les points de vigilance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62EFA" w:rsidRPr="00A73B60" w:rsidRDefault="00D62EFA" w:rsidP="008A2308">
            <w:pPr>
              <w:jc w:val="center"/>
              <w:rPr>
                <w:b/>
                <w:sz w:val="24"/>
                <w:szCs w:val="24"/>
              </w:rPr>
            </w:pPr>
            <w:r w:rsidRPr="00A73B60">
              <w:rPr>
                <w:b/>
                <w:sz w:val="24"/>
                <w:szCs w:val="24"/>
              </w:rPr>
              <w:t>Les documents ressources</w:t>
            </w:r>
            <w:r w:rsidR="00EF59F6" w:rsidRPr="00A73B6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340B2" w:rsidTr="00C25E93">
        <w:tc>
          <w:tcPr>
            <w:tcW w:w="1697" w:type="dxa"/>
            <w:vMerge w:val="restart"/>
          </w:tcPr>
          <w:p w:rsidR="000340B2" w:rsidRPr="000340B2" w:rsidRDefault="000340B2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0340B2" w:rsidRPr="000340B2" w:rsidRDefault="000340B2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0340B2" w:rsidRPr="000340B2" w:rsidRDefault="000340B2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0340B2" w:rsidRPr="000340B2" w:rsidRDefault="000340B2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340B2">
              <w:rPr>
                <w:b/>
                <w:color w:val="FF0000"/>
                <w:sz w:val="32"/>
                <w:szCs w:val="32"/>
              </w:rPr>
              <w:t>Découvrir les nombres et leurs utilisations</w:t>
            </w:r>
          </w:p>
        </w:tc>
        <w:tc>
          <w:tcPr>
            <w:tcW w:w="13608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0340B2" w:rsidRPr="000340B2" w:rsidRDefault="000340B2" w:rsidP="000340B2">
            <w:r w:rsidRPr="000340B2">
              <w:t xml:space="preserve">Le cycle 1 </w:t>
            </w:r>
            <w:r w:rsidRPr="000340B2">
              <w:rPr>
                <w:rFonts w:cs="Arial"/>
                <w:szCs w:val="20"/>
              </w:rPr>
              <w:t>doit conduire progressivement chaque enfant à comprendre que les nombres permettent à la fois d’exprimer des quantités (usage cardinal) et d’exprimer un rang ou un positionnement dans une liste (usage ordinal). Cet apprentissage demande du temps et la confrontation à de nombreuses situations impliquant des activités pré-numériques puis numériques.</w:t>
            </w:r>
          </w:p>
        </w:tc>
      </w:tr>
      <w:tr w:rsidR="00A73B60" w:rsidTr="00A73B60">
        <w:tc>
          <w:tcPr>
            <w:tcW w:w="1697" w:type="dxa"/>
            <w:vMerge/>
          </w:tcPr>
          <w:p w:rsidR="00A73B60" w:rsidRPr="000340B2" w:rsidRDefault="00A73B60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B60" w:rsidRPr="000340B2" w:rsidRDefault="00A73B60" w:rsidP="001469A4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color w:val="FF0000"/>
                <w:u w:val="single"/>
              </w:rPr>
            </w:pPr>
            <w:r w:rsidRPr="000340B2">
              <w:rPr>
                <w:color w:val="FF0000"/>
                <w:u w:val="single"/>
              </w:rPr>
              <w:t xml:space="preserve">Compter / Dénombrer 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B60" w:rsidRDefault="00A73B60" w:rsidP="00C25E93">
            <w:pPr>
              <w:pStyle w:val="Paragraphedeliste"/>
              <w:numPr>
                <w:ilvl w:val="0"/>
                <w:numId w:val="10"/>
              </w:numPr>
              <w:ind w:left="176" w:hanging="176"/>
            </w:pPr>
            <w:r>
              <w:t>Attention au comptage numérotage</w:t>
            </w:r>
          </w:p>
          <w:p w:rsidR="00B34A69" w:rsidRPr="00B34A69" w:rsidRDefault="00B34A69" w:rsidP="00C25E93">
            <w:pPr>
              <w:pStyle w:val="Paragraphedeliste"/>
              <w:numPr>
                <w:ilvl w:val="0"/>
                <w:numId w:val="10"/>
              </w:numPr>
              <w:ind w:left="176" w:hanging="176"/>
            </w:pPr>
            <w:r w:rsidRPr="00B34A69">
              <w:rPr>
                <w:iCs/>
              </w:rPr>
              <w:t>Énumérer (prendre en compte chaque unité d’une même collection sans en oublier ni pointer deux fois la même)...</w:t>
            </w:r>
            <w:r>
              <w:rPr>
                <w:iCs/>
              </w:rPr>
              <w:t xml:space="preserve"> créer d</w:t>
            </w:r>
            <w:r w:rsidRPr="00B34A69">
              <w:rPr>
                <w:iCs/>
              </w:rPr>
              <w:t>es situations d’apprentissage  permettant de s’appuyer sur une collection, un codage repérant les éléments</w:t>
            </w:r>
            <w:r>
              <w:rPr>
                <w:iCs/>
              </w:rPr>
              <w:t xml:space="preserve"> </w:t>
            </w:r>
            <w:r w:rsidRPr="00B34A69">
              <w:rPr>
                <w:iCs/>
              </w:rPr>
              <w:t>déjà comptés par la construction</w:t>
            </w:r>
            <w:r>
              <w:rPr>
                <w:iCs/>
              </w:rPr>
              <w:t xml:space="preserve"> </w:t>
            </w:r>
            <w:r w:rsidRPr="00B34A69">
              <w:rPr>
                <w:iCs/>
              </w:rPr>
              <w:t>d’un trajet graphique ou mental.</w:t>
            </w:r>
          </w:p>
          <w:p w:rsidR="00A73B60" w:rsidRDefault="00A73B60" w:rsidP="00C25E93">
            <w:pPr>
              <w:pStyle w:val="Paragraphedeliste"/>
              <w:numPr>
                <w:ilvl w:val="0"/>
                <w:numId w:val="10"/>
              </w:numPr>
              <w:ind w:left="176" w:hanging="176"/>
            </w:pPr>
            <w:r>
              <w:t>Bien faire apparaître, lors de l’énumération de la collection, que chacun des noms des nombres désigne la quantité qui vient d’être formée. Chaque mot prononcé ne donne pas un nom à l’objet déplacé mais représente bien toute la quantité déjà étudiée.</w:t>
            </w:r>
          </w:p>
          <w:p w:rsidR="00A73B60" w:rsidRDefault="00A73B60" w:rsidP="00C25E93">
            <w:pPr>
              <w:pStyle w:val="Paragraphedeliste"/>
              <w:numPr>
                <w:ilvl w:val="0"/>
                <w:numId w:val="10"/>
              </w:numPr>
              <w:ind w:left="176" w:hanging="176"/>
            </w:pPr>
            <w:r>
              <w:t>Importance de proposer des activités de comparaisons de collections et de production d’une collection de même cardinal qu’une autre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73B60" w:rsidRPr="00A73B60" w:rsidRDefault="00A73B60" w:rsidP="00A73B60">
            <w:pPr>
              <w:ind w:left="34"/>
              <w:jc w:val="center"/>
              <w:rPr>
                <w:u w:val="single"/>
              </w:rPr>
            </w:pPr>
          </w:p>
          <w:p w:rsidR="00A73B60" w:rsidRPr="00A73B60" w:rsidRDefault="00A73B60" w:rsidP="00A73B60">
            <w:pPr>
              <w:ind w:left="34"/>
              <w:jc w:val="center"/>
              <w:rPr>
                <w:u w:val="single"/>
              </w:rPr>
            </w:pPr>
          </w:p>
          <w:p w:rsidR="00A73B60" w:rsidRPr="00A73B60" w:rsidRDefault="00A73B60" w:rsidP="00A73B60">
            <w:pPr>
              <w:ind w:left="34"/>
              <w:jc w:val="center"/>
              <w:rPr>
                <w:u w:val="single"/>
              </w:rPr>
            </w:pPr>
          </w:p>
          <w:p w:rsidR="00A73B60" w:rsidRPr="00A73B60" w:rsidRDefault="00A73B60" w:rsidP="00A73B60">
            <w:pPr>
              <w:ind w:left="34"/>
              <w:jc w:val="center"/>
              <w:rPr>
                <w:u w:val="single"/>
              </w:rPr>
            </w:pPr>
          </w:p>
          <w:p w:rsidR="00A73B60" w:rsidRPr="00A73B60" w:rsidRDefault="00A73B60" w:rsidP="00A73B60">
            <w:pPr>
              <w:ind w:left="34"/>
              <w:jc w:val="center"/>
              <w:rPr>
                <w:u w:val="single"/>
              </w:rPr>
            </w:pPr>
          </w:p>
          <w:p w:rsidR="00A73B60" w:rsidRPr="00A73B60" w:rsidRDefault="00A73B60" w:rsidP="00A73B60">
            <w:pPr>
              <w:ind w:left="34"/>
              <w:jc w:val="center"/>
              <w:rPr>
                <w:u w:val="single"/>
              </w:rPr>
            </w:pPr>
          </w:p>
          <w:p w:rsidR="00A73B60" w:rsidRPr="00A73B60" w:rsidRDefault="00A73B60" w:rsidP="00A73B60">
            <w:pPr>
              <w:ind w:left="34"/>
              <w:jc w:val="center"/>
              <w:rPr>
                <w:u w:val="single"/>
              </w:rPr>
            </w:pPr>
          </w:p>
          <w:p w:rsidR="00A73B60" w:rsidRPr="00A73B60" w:rsidRDefault="00A73B60" w:rsidP="00A73B60">
            <w:pPr>
              <w:ind w:left="34"/>
              <w:jc w:val="center"/>
              <w:rPr>
                <w:u w:val="single"/>
              </w:rPr>
            </w:pPr>
          </w:p>
          <w:p w:rsidR="00A73B60" w:rsidRPr="00A73B60" w:rsidRDefault="00A73B60" w:rsidP="00A73B60">
            <w:pPr>
              <w:ind w:left="34"/>
              <w:jc w:val="center"/>
              <w:rPr>
                <w:u w:val="single"/>
              </w:rPr>
            </w:pPr>
          </w:p>
          <w:p w:rsidR="00A73B60" w:rsidRPr="00A73B60" w:rsidRDefault="00A73B60" w:rsidP="00A73B60">
            <w:pPr>
              <w:ind w:left="34"/>
              <w:jc w:val="center"/>
              <w:rPr>
                <w:u w:val="single"/>
              </w:rPr>
            </w:pPr>
          </w:p>
          <w:p w:rsidR="00A73B60" w:rsidRPr="00A73B60" w:rsidRDefault="00A73B60" w:rsidP="00A73B60">
            <w:pPr>
              <w:ind w:left="34"/>
              <w:jc w:val="center"/>
              <w:rPr>
                <w:u w:val="single"/>
              </w:rPr>
            </w:pPr>
          </w:p>
          <w:p w:rsidR="00A73B60" w:rsidRPr="00A73B60" w:rsidRDefault="00A73B60" w:rsidP="00A73B60">
            <w:pPr>
              <w:ind w:left="34"/>
              <w:jc w:val="center"/>
              <w:rPr>
                <w:u w:val="single"/>
              </w:rPr>
            </w:pPr>
          </w:p>
          <w:p w:rsidR="00A73B60" w:rsidRPr="00A73B60" w:rsidRDefault="00A73B60" w:rsidP="00A73B60">
            <w:pPr>
              <w:ind w:left="34"/>
              <w:jc w:val="center"/>
              <w:rPr>
                <w:u w:val="single"/>
              </w:rPr>
            </w:pPr>
          </w:p>
          <w:p w:rsidR="00A73B60" w:rsidRPr="00A73B60" w:rsidRDefault="00A73B60" w:rsidP="00A73B60">
            <w:pPr>
              <w:ind w:left="34"/>
              <w:jc w:val="center"/>
              <w:rPr>
                <w:u w:val="single"/>
              </w:rPr>
            </w:pPr>
          </w:p>
          <w:p w:rsidR="00A73B60" w:rsidRPr="00A73B60" w:rsidRDefault="00A73B60" w:rsidP="00A73B60">
            <w:pPr>
              <w:ind w:left="34"/>
              <w:jc w:val="center"/>
              <w:rPr>
                <w:u w:val="single"/>
              </w:rPr>
            </w:pPr>
          </w:p>
          <w:p w:rsidR="00A73B60" w:rsidRDefault="00A73B60" w:rsidP="002B7CD9">
            <w:pPr>
              <w:pStyle w:val="Paragraphedeliste"/>
              <w:numPr>
                <w:ilvl w:val="0"/>
                <w:numId w:val="10"/>
              </w:numPr>
              <w:ind w:left="317" w:hanging="283"/>
              <w:jc w:val="center"/>
              <w:rPr>
                <w:u w:val="single"/>
              </w:rPr>
            </w:pPr>
            <w:r>
              <w:rPr>
                <w:u w:val="single"/>
              </w:rPr>
              <w:t>Les jeux d’exploration (P 20)</w:t>
            </w:r>
          </w:p>
          <w:p w:rsidR="00A73B60" w:rsidRPr="00A73B60" w:rsidRDefault="00A73B60" w:rsidP="00A73B60">
            <w:pPr>
              <w:jc w:val="center"/>
              <w:rPr>
                <w:u w:val="single"/>
              </w:rPr>
            </w:pPr>
          </w:p>
          <w:p w:rsidR="00A73B60" w:rsidRPr="002B7CD9" w:rsidRDefault="00A73B60" w:rsidP="002B7CD9">
            <w:pPr>
              <w:pStyle w:val="Paragraphedeliste"/>
              <w:numPr>
                <w:ilvl w:val="0"/>
                <w:numId w:val="10"/>
              </w:numPr>
              <w:ind w:left="317" w:hanging="283"/>
              <w:jc w:val="center"/>
              <w:rPr>
                <w:u w:val="single"/>
              </w:rPr>
            </w:pPr>
            <w:r>
              <w:rPr>
                <w:u w:val="single"/>
              </w:rPr>
              <w:t>Les jeux de construction (p14)</w:t>
            </w:r>
          </w:p>
        </w:tc>
      </w:tr>
      <w:tr w:rsidR="00A73B60" w:rsidTr="00A73B60">
        <w:tc>
          <w:tcPr>
            <w:tcW w:w="1697" w:type="dxa"/>
            <w:vMerge/>
          </w:tcPr>
          <w:p w:rsidR="00A73B60" w:rsidRPr="000340B2" w:rsidRDefault="00A73B60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B60" w:rsidRPr="000340B2" w:rsidRDefault="00A73B60" w:rsidP="001469A4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color w:val="FF0000"/>
                <w:u w:val="single"/>
              </w:rPr>
            </w:pPr>
            <w:r w:rsidRPr="000340B2">
              <w:rPr>
                <w:color w:val="FF0000"/>
                <w:u w:val="single"/>
              </w:rPr>
              <w:t>Les compositions / décompositions</w:t>
            </w:r>
          </w:p>
          <w:p w:rsidR="00A73B60" w:rsidRPr="000340B2" w:rsidRDefault="00A73B60" w:rsidP="001469A4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color w:val="FF0000"/>
                <w:u w:val="single"/>
              </w:rPr>
            </w:pPr>
            <w:r w:rsidRPr="000340B2">
              <w:rPr>
                <w:color w:val="FF0000"/>
                <w:u w:val="single"/>
              </w:rPr>
              <w:t>L’itération de l’unité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B60" w:rsidRDefault="00A73B60" w:rsidP="001469A4">
            <w:pPr>
              <w:pStyle w:val="Paragraphedeliste"/>
              <w:numPr>
                <w:ilvl w:val="0"/>
                <w:numId w:val="10"/>
              </w:numPr>
              <w:ind w:left="176" w:hanging="176"/>
            </w:pPr>
            <w:r>
              <w:t xml:space="preserve">Il est essentiel de distinguer deux manières de parler les nombres : </w:t>
            </w:r>
          </w:p>
          <w:p w:rsidR="00A73B60" w:rsidRDefault="00A73B60" w:rsidP="003257AE">
            <w:r>
              <w:t xml:space="preserve">          - le comptage</w:t>
            </w:r>
          </w:p>
          <w:p w:rsidR="00A73B60" w:rsidRDefault="00A73B60" w:rsidP="003257AE">
            <w:r>
              <w:t xml:space="preserve">          - l’usage de décomposition (un, un et encore un)</w:t>
            </w:r>
          </w:p>
          <w:p w:rsidR="00A73B60" w:rsidRDefault="00A73B60" w:rsidP="001469A4">
            <w:pPr>
              <w:pStyle w:val="Paragraphedeliste"/>
              <w:numPr>
                <w:ilvl w:val="0"/>
                <w:numId w:val="10"/>
              </w:numPr>
              <w:ind w:left="176" w:hanging="176"/>
            </w:pPr>
            <w:r>
              <w:t>Parler les nombres avec les décompositions permet d’éviter que les jeunes enfants aient, dans le même contexte, à coordonner les deux significations des mots nombres : numéros et noms des nombres</w:t>
            </w:r>
          </w:p>
          <w:p w:rsidR="00A73B60" w:rsidRDefault="00A73B60" w:rsidP="001469A4">
            <w:pPr>
              <w:pStyle w:val="Paragraphedeliste"/>
              <w:numPr>
                <w:ilvl w:val="0"/>
                <w:numId w:val="10"/>
              </w:numPr>
              <w:ind w:left="176" w:hanging="176"/>
            </w:pPr>
            <w:r>
              <w:t>Stabiliser la connaissance des petits nombres (jusqu’à cinq) demande des activités nombreuses et variées portant sur la décomposition et recomposition des petites quantités (trois c’est deux et encore un ; un et encore deux ; quatre c’est deux et encore deux ; trois et encore un ; un et encore trois).</w:t>
            </w:r>
          </w:p>
          <w:p w:rsidR="00A73B60" w:rsidRDefault="00A73B60" w:rsidP="001469A4">
            <w:pPr>
              <w:pStyle w:val="Paragraphedeliste"/>
              <w:numPr>
                <w:ilvl w:val="0"/>
                <w:numId w:val="10"/>
              </w:numPr>
              <w:ind w:left="176" w:hanging="176"/>
            </w:pPr>
            <w:r>
              <w:t>La reconnaissance et l’observation des constellations du dé, la reconnaissance et l’expression d’une quantité avec les doigts de la main, la correspondance terme à terme avec une collection de cardinal connu doivent donner lieu à des activités régulières</w:t>
            </w:r>
          </w:p>
          <w:p w:rsidR="00A73B60" w:rsidRDefault="00A73B60" w:rsidP="001469A4">
            <w:pPr>
              <w:pStyle w:val="Paragraphedeliste"/>
              <w:numPr>
                <w:ilvl w:val="0"/>
                <w:numId w:val="10"/>
              </w:numPr>
              <w:ind w:left="176" w:hanging="176"/>
            </w:pPr>
            <w:r>
              <w:t xml:space="preserve">L’itération de l’unité (trois c’est deux et encore un) se construit progressivement, et pour chaque nombre. </w:t>
            </w:r>
          </w:p>
          <w:p w:rsidR="00A73B60" w:rsidRDefault="00A73B60" w:rsidP="001469A4">
            <w:pPr>
              <w:pStyle w:val="Paragraphedeliste"/>
              <w:numPr>
                <w:ilvl w:val="0"/>
                <w:numId w:val="10"/>
              </w:numPr>
              <w:ind w:left="176" w:hanging="176"/>
            </w:pPr>
            <w:r>
              <w:t>L’usage des comptines numériques est fortement conseillé</w:t>
            </w:r>
          </w:p>
        </w:tc>
        <w:tc>
          <w:tcPr>
            <w:tcW w:w="1842" w:type="dxa"/>
            <w:vMerge/>
            <w:tcBorders>
              <w:left w:val="single" w:sz="8" w:space="0" w:color="auto"/>
            </w:tcBorders>
          </w:tcPr>
          <w:p w:rsidR="00A73B60" w:rsidRPr="002B7CD9" w:rsidRDefault="00A73B60" w:rsidP="002B7CD9">
            <w:pPr>
              <w:pStyle w:val="Paragraphedeliste"/>
              <w:numPr>
                <w:ilvl w:val="0"/>
                <w:numId w:val="10"/>
              </w:numPr>
              <w:ind w:left="317" w:hanging="283"/>
              <w:jc w:val="center"/>
              <w:rPr>
                <w:u w:val="single"/>
              </w:rPr>
            </w:pPr>
          </w:p>
        </w:tc>
      </w:tr>
      <w:tr w:rsidR="00A73B60" w:rsidTr="00A73B60">
        <w:tc>
          <w:tcPr>
            <w:tcW w:w="1697" w:type="dxa"/>
            <w:vMerge/>
          </w:tcPr>
          <w:p w:rsidR="00A73B60" w:rsidRPr="000340B2" w:rsidRDefault="00A73B60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B60" w:rsidRPr="000340B2" w:rsidRDefault="00A73B60" w:rsidP="001469A4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color w:val="FF0000"/>
                <w:u w:val="single"/>
              </w:rPr>
            </w:pPr>
            <w:r w:rsidRPr="000340B2">
              <w:rPr>
                <w:color w:val="FF0000"/>
                <w:u w:val="single"/>
              </w:rPr>
              <w:t>Les rituels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B60" w:rsidRDefault="00A73B60" w:rsidP="00C25E93">
            <w:pPr>
              <w:pStyle w:val="Paragraphedeliste"/>
              <w:numPr>
                <w:ilvl w:val="0"/>
                <w:numId w:val="10"/>
              </w:numPr>
              <w:ind w:left="176" w:hanging="176"/>
            </w:pPr>
            <w:r>
              <w:t>Prendre le temps de faire fonctionner ce qui a été appris</w:t>
            </w:r>
          </w:p>
          <w:p w:rsidR="00A73B60" w:rsidRDefault="00A73B60" w:rsidP="00C25E93">
            <w:pPr>
              <w:pStyle w:val="Paragraphedeliste"/>
              <w:numPr>
                <w:ilvl w:val="0"/>
                <w:numId w:val="10"/>
              </w:numPr>
              <w:ind w:left="176" w:hanging="176"/>
            </w:pPr>
            <w:r>
              <w:t>Travailler sur les nombres et leurs représentations diverses</w:t>
            </w:r>
          </w:p>
          <w:p w:rsidR="00A73B60" w:rsidRDefault="00A73B60" w:rsidP="00A73B60">
            <w:pPr>
              <w:pStyle w:val="Paragraphedeliste"/>
              <w:numPr>
                <w:ilvl w:val="0"/>
                <w:numId w:val="10"/>
              </w:numPr>
              <w:ind w:left="176" w:hanging="176"/>
              <w:jc w:val="both"/>
            </w:pPr>
            <w:r>
              <w:t xml:space="preserve">Faire prendre conscience que </w:t>
            </w:r>
            <w:r w:rsidRPr="006F277A">
              <w:rPr>
                <w:rFonts w:cs="Arial"/>
                <w:szCs w:val="20"/>
              </w:rPr>
              <w:t xml:space="preserve">toute quantité s’obtient en ajoutant un à la quantité précédente (ou en enlevant un à la quantité supérieure) et que sa dénomination </w:t>
            </w:r>
            <w:r w:rsidRPr="006F277A">
              <w:rPr>
                <w:rFonts w:cs="Arial"/>
                <w:szCs w:val="20"/>
              </w:rPr>
              <w:lastRenderedPageBreak/>
              <w:t xml:space="preserve">s’obtient en avançant de un dans la suite des noms de nombres ou de leur écriture avec des chiffres. </w:t>
            </w:r>
          </w:p>
        </w:tc>
        <w:tc>
          <w:tcPr>
            <w:tcW w:w="1842" w:type="dxa"/>
            <w:vMerge/>
            <w:tcBorders>
              <w:left w:val="single" w:sz="8" w:space="0" w:color="auto"/>
            </w:tcBorders>
          </w:tcPr>
          <w:p w:rsidR="00A73B60" w:rsidRPr="002B7CD9" w:rsidRDefault="00A73B60" w:rsidP="002B7CD9">
            <w:pPr>
              <w:pStyle w:val="Paragraphedeliste"/>
              <w:numPr>
                <w:ilvl w:val="0"/>
                <w:numId w:val="10"/>
              </w:numPr>
              <w:ind w:left="317" w:hanging="283"/>
              <w:jc w:val="center"/>
              <w:rPr>
                <w:u w:val="single"/>
              </w:rPr>
            </w:pPr>
          </w:p>
        </w:tc>
      </w:tr>
      <w:tr w:rsidR="00A73B60" w:rsidTr="00A73B60">
        <w:tc>
          <w:tcPr>
            <w:tcW w:w="1697" w:type="dxa"/>
            <w:vMerge/>
          </w:tcPr>
          <w:p w:rsidR="00A73B60" w:rsidRPr="000340B2" w:rsidRDefault="00A73B60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B60" w:rsidRPr="000340B2" w:rsidRDefault="00A73B60" w:rsidP="001469A4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color w:val="FF0000"/>
                <w:u w:val="single"/>
              </w:rPr>
            </w:pPr>
            <w:r w:rsidRPr="000340B2">
              <w:rPr>
                <w:color w:val="FF0000"/>
                <w:u w:val="single"/>
              </w:rPr>
              <w:t>L’écriture des nombres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B60" w:rsidRDefault="00A73B60" w:rsidP="00C25E93">
            <w:pPr>
              <w:pStyle w:val="Paragraphedeliste"/>
              <w:numPr>
                <w:ilvl w:val="0"/>
                <w:numId w:val="10"/>
              </w:numPr>
              <w:ind w:left="176" w:hanging="176"/>
            </w:pPr>
            <w:r>
              <w:t>Elle doit se faire progressivement et en fonction des besoins rencontrés (pas trop précocement)</w:t>
            </w:r>
          </w:p>
          <w:p w:rsidR="00A73B60" w:rsidRDefault="00A73B60" w:rsidP="00C25E93">
            <w:pPr>
              <w:pStyle w:val="Paragraphedeliste"/>
              <w:numPr>
                <w:ilvl w:val="0"/>
                <w:numId w:val="10"/>
              </w:numPr>
              <w:ind w:left="176" w:hanging="176"/>
            </w:pPr>
            <w:r>
              <w:t>Elle nécessite un soin particulier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73B60" w:rsidRPr="002B7CD9" w:rsidRDefault="00A73B60" w:rsidP="002B7CD9">
            <w:pPr>
              <w:pStyle w:val="Paragraphedeliste"/>
              <w:numPr>
                <w:ilvl w:val="0"/>
                <w:numId w:val="10"/>
              </w:numPr>
              <w:ind w:left="317" w:hanging="283"/>
              <w:jc w:val="center"/>
              <w:rPr>
                <w:u w:val="single"/>
              </w:rPr>
            </w:pPr>
          </w:p>
        </w:tc>
      </w:tr>
      <w:tr w:rsidR="000340B2" w:rsidTr="00A73B60">
        <w:tc>
          <w:tcPr>
            <w:tcW w:w="1697" w:type="dxa"/>
          </w:tcPr>
          <w:p w:rsidR="000340B2" w:rsidRPr="008A2308" w:rsidRDefault="000340B2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Explorer des formes, des grandeurs, des suites organisées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B2" w:rsidRDefault="000340B2" w:rsidP="001469A4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La manipulation</w:t>
            </w:r>
          </w:p>
          <w:p w:rsidR="000340B2" w:rsidRPr="002535F7" w:rsidRDefault="000340B2" w:rsidP="001469A4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Le langage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B2" w:rsidRDefault="000340B2" w:rsidP="00C25E93">
            <w:pPr>
              <w:pStyle w:val="Paragraphedeliste"/>
              <w:numPr>
                <w:ilvl w:val="0"/>
                <w:numId w:val="10"/>
              </w:numPr>
              <w:ind w:left="176" w:hanging="176"/>
            </w:pPr>
            <w:r>
              <w:t>Le travail doit se faire prioritairement à partir d’observations, de manipulations, de comparaisons et de tris</w:t>
            </w:r>
          </w:p>
          <w:p w:rsidR="000340B2" w:rsidRDefault="000340B2" w:rsidP="00C25E93">
            <w:pPr>
              <w:pStyle w:val="Paragraphedeliste"/>
              <w:numPr>
                <w:ilvl w:val="0"/>
                <w:numId w:val="10"/>
              </w:numPr>
              <w:ind w:left="176" w:hanging="176"/>
            </w:pPr>
            <w:r>
              <w:t>Le langage doit permettre de venir renforcer les connaissances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340B2" w:rsidRDefault="007D0E67" w:rsidP="002B7CD9">
            <w:pPr>
              <w:pStyle w:val="Paragraphedeliste"/>
              <w:numPr>
                <w:ilvl w:val="0"/>
                <w:numId w:val="10"/>
              </w:numPr>
              <w:ind w:left="317" w:hanging="283"/>
              <w:jc w:val="center"/>
              <w:rPr>
                <w:u w:val="single"/>
              </w:rPr>
            </w:pPr>
            <w:r>
              <w:rPr>
                <w:u w:val="single"/>
              </w:rPr>
              <w:t>Les jeux d’exploration (p21)</w:t>
            </w:r>
          </w:p>
          <w:p w:rsidR="00A73B60" w:rsidRPr="00A73B60" w:rsidRDefault="00A73B60" w:rsidP="00A73B60">
            <w:pPr>
              <w:ind w:left="34"/>
              <w:jc w:val="center"/>
              <w:rPr>
                <w:u w:val="single"/>
              </w:rPr>
            </w:pPr>
          </w:p>
          <w:p w:rsidR="007D0E67" w:rsidRPr="002B7CD9" w:rsidRDefault="007D0E67" w:rsidP="007D0E67">
            <w:pPr>
              <w:pStyle w:val="Paragraphedeliste"/>
              <w:numPr>
                <w:ilvl w:val="0"/>
                <w:numId w:val="10"/>
              </w:numPr>
              <w:ind w:left="317" w:hanging="283"/>
              <w:jc w:val="center"/>
              <w:rPr>
                <w:u w:val="single"/>
              </w:rPr>
            </w:pPr>
            <w:r>
              <w:rPr>
                <w:u w:val="single"/>
              </w:rPr>
              <w:t>Les jeux de construction (p15)</w:t>
            </w:r>
          </w:p>
        </w:tc>
      </w:tr>
    </w:tbl>
    <w:p w:rsidR="00866222" w:rsidRDefault="00866222" w:rsidP="00A73B60"/>
    <w:sectPr w:rsidR="00866222" w:rsidSect="00866222">
      <w:pgSz w:w="16838" w:h="11906" w:orient="landscape"/>
      <w:pgMar w:top="709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490"/>
    <w:multiLevelType w:val="hybridMultilevel"/>
    <w:tmpl w:val="E1483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1C68"/>
    <w:multiLevelType w:val="hybridMultilevel"/>
    <w:tmpl w:val="1A441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8047A"/>
    <w:multiLevelType w:val="hybridMultilevel"/>
    <w:tmpl w:val="F2D81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B7B41"/>
    <w:multiLevelType w:val="hybridMultilevel"/>
    <w:tmpl w:val="17A0C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03ED6"/>
    <w:multiLevelType w:val="hybridMultilevel"/>
    <w:tmpl w:val="83025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2A04"/>
    <w:multiLevelType w:val="hybridMultilevel"/>
    <w:tmpl w:val="40A2FA80"/>
    <w:lvl w:ilvl="0" w:tplc="040C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4C226A20"/>
    <w:multiLevelType w:val="hybridMultilevel"/>
    <w:tmpl w:val="28F22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07B98"/>
    <w:multiLevelType w:val="hybridMultilevel"/>
    <w:tmpl w:val="B5004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551DE"/>
    <w:multiLevelType w:val="hybridMultilevel"/>
    <w:tmpl w:val="0BB43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75FFB"/>
    <w:multiLevelType w:val="hybridMultilevel"/>
    <w:tmpl w:val="673AB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E48FC"/>
    <w:multiLevelType w:val="hybridMultilevel"/>
    <w:tmpl w:val="1B7A9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B5BB6"/>
    <w:multiLevelType w:val="hybridMultilevel"/>
    <w:tmpl w:val="7640D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C4ADA"/>
    <w:multiLevelType w:val="hybridMultilevel"/>
    <w:tmpl w:val="810E98C2"/>
    <w:lvl w:ilvl="0" w:tplc="040C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2"/>
  </w:num>
  <w:num w:numId="5">
    <w:abstractNumId w:val="0"/>
  </w:num>
  <w:num w:numId="6">
    <w:abstractNumId w:val="11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C0"/>
    <w:rsid w:val="00010E78"/>
    <w:rsid w:val="000213D2"/>
    <w:rsid w:val="000340B2"/>
    <w:rsid w:val="0006512F"/>
    <w:rsid w:val="000B035D"/>
    <w:rsid w:val="000E05D0"/>
    <w:rsid w:val="00105008"/>
    <w:rsid w:val="001469A4"/>
    <w:rsid w:val="00147C97"/>
    <w:rsid w:val="001663BD"/>
    <w:rsid w:val="001E34F5"/>
    <w:rsid w:val="002535F7"/>
    <w:rsid w:val="00267743"/>
    <w:rsid w:val="002B7CD9"/>
    <w:rsid w:val="003257AE"/>
    <w:rsid w:val="00365891"/>
    <w:rsid w:val="00434E7C"/>
    <w:rsid w:val="00461F31"/>
    <w:rsid w:val="00526121"/>
    <w:rsid w:val="00556905"/>
    <w:rsid w:val="00656364"/>
    <w:rsid w:val="006A7DE6"/>
    <w:rsid w:val="006F277A"/>
    <w:rsid w:val="00766614"/>
    <w:rsid w:val="007D0E67"/>
    <w:rsid w:val="00815532"/>
    <w:rsid w:val="00866222"/>
    <w:rsid w:val="008753FF"/>
    <w:rsid w:val="008A2308"/>
    <w:rsid w:val="008B6ABB"/>
    <w:rsid w:val="00910CD7"/>
    <w:rsid w:val="00A15FBA"/>
    <w:rsid w:val="00A36868"/>
    <w:rsid w:val="00A73B60"/>
    <w:rsid w:val="00A93B9A"/>
    <w:rsid w:val="00AC695A"/>
    <w:rsid w:val="00B34A69"/>
    <w:rsid w:val="00B53142"/>
    <w:rsid w:val="00C25E93"/>
    <w:rsid w:val="00CD4A6A"/>
    <w:rsid w:val="00CF2617"/>
    <w:rsid w:val="00D405EA"/>
    <w:rsid w:val="00D62EFA"/>
    <w:rsid w:val="00D979C0"/>
    <w:rsid w:val="00E76328"/>
    <w:rsid w:val="00ED00F2"/>
    <w:rsid w:val="00EF59F6"/>
    <w:rsid w:val="00F40085"/>
    <w:rsid w:val="00F85EFF"/>
    <w:rsid w:val="00F9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2EF95-4291-4D30-9A78-8860DC8B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5F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6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LECLERC</dc:creator>
  <cp:keywords/>
  <dc:description/>
  <cp:lastModifiedBy>Isabelle LECLERC</cp:lastModifiedBy>
  <cp:revision>17</cp:revision>
  <cp:lastPrinted>2017-03-14T13:01:00Z</cp:lastPrinted>
  <dcterms:created xsi:type="dcterms:W3CDTF">2016-12-26T11:45:00Z</dcterms:created>
  <dcterms:modified xsi:type="dcterms:W3CDTF">2017-03-14T13:04:00Z</dcterms:modified>
</cp:coreProperties>
</file>